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9B28E22">
      <w:pPr>
        <w:jc w:val="center"/>
        <w:rPr>
          <w:sz w:val="48"/>
          <w:szCs w:val="48"/>
        </w:rPr>
      </w:pPr>
      <w:r>
        <w:rPr>
          <w:rFonts w:hint="eastAsia"/>
          <w:sz w:val="48"/>
          <w:szCs w:val="48"/>
        </w:rPr>
        <w:t>采购技术要求</w:t>
      </w:r>
    </w:p>
    <w:p w14:paraId="22036FFE">
      <w:pPr>
        <w:rPr>
          <w:sz w:val="10"/>
          <w:szCs w:val="10"/>
        </w:rPr>
      </w:pPr>
    </w:p>
    <w:tbl>
      <w:tblPr>
        <w:tblStyle w:val="15"/>
        <w:tblW w:w="106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460"/>
        <w:gridCol w:w="3055"/>
        <w:gridCol w:w="1134"/>
        <w:gridCol w:w="5187"/>
      </w:tblGrid>
      <w:tr w14:paraId="78796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8EC1B3E">
            <w:pPr>
              <w:jc w:val="center"/>
              <w:rPr>
                <w:sz w:val="24"/>
                <w:szCs w:val="24"/>
              </w:rPr>
            </w:pPr>
            <w:r>
              <w:rPr>
                <w:rFonts w:hint="eastAsia"/>
                <w:sz w:val="24"/>
                <w:szCs w:val="24"/>
              </w:rPr>
              <w:t>名称</w:t>
            </w:r>
          </w:p>
        </w:tc>
        <w:tc>
          <w:tcPr>
            <w:tcW w:w="3515" w:type="dxa"/>
            <w:gridSpan w:val="2"/>
            <w:vAlign w:val="center"/>
          </w:tcPr>
          <w:p w14:paraId="14DE0DAA">
            <w:pPr>
              <w:jc w:val="center"/>
              <w:rPr>
                <w:sz w:val="24"/>
                <w:szCs w:val="24"/>
              </w:rPr>
            </w:pPr>
            <w:r>
              <w:rPr>
                <w:rFonts w:hint="eastAsia"/>
                <w:sz w:val="24"/>
                <w:szCs w:val="24"/>
              </w:rPr>
              <w:t>飞机地面空调机组</w:t>
            </w:r>
          </w:p>
        </w:tc>
        <w:tc>
          <w:tcPr>
            <w:tcW w:w="1134" w:type="dxa"/>
            <w:vAlign w:val="center"/>
          </w:tcPr>
          <w:p w14:paraId="25BEFB37">
            <w:pPr>
              <w:jc w:val="center"/>
              <w:rPr>
                <w:sz w:val="24"/>
                <w:szCs w:val="24"/>
              </w:rPr>
            </w:pPr>
            <w:r>
              <w:rPr>
                <w:rFonts w:hint="eastAsia"/>
                <w:sz w:val="24"/>
                <w:szCs w:val="24"/>
              </w:rPr>
              <w:t>件号</w:t>
            </w:r>
          </w:p>
        </w:tc>
        <w:tc>
          <w:tcPr>
            <w:tcW w:w="5187" w:type="dxa"/>
            <w:vAlign w:val="center"/>
          </w:tcPr>
          <w:p w14:paraId="2AB83942">
            <w:pPr>
              <w:jc w:val="center"/>
              <w:rPr>
                <w:sz w:val="24"/>
                <w:szCs w:val="24"/>
              </w:rPr>
            </w:pPr>
            <w:r>
              <w:rPr>
                <w:rFonts w:hint="eastAsia"/>
                <w:sz w:val="24"/>
                <w:szCs w:val="24"/>
              </w:rPr>
              <w:t>/</w:t>
            </w:r>
          </w:p>
        </w:tc>
      </w:tr>
      <w:tr w14:paraId="02666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restart"/>
            <w:textDirection w:val="tbRl"/>
          </w:tcPr>
          <w:p w14:paraId="65B2538B">
            <w:pPr>
              <w:ind w:left="113" w:right="113"/>
              <w:jc w:val="center"/>
              <w:rPr>
                <w:sz w:val="24"/>
              </w:rPr>
            </w:pPr>
            <w:r>
              <w:rPr>
                <w:rFonts w:hint="eastAsia"/>
                <w:sz w:val="24"/>
                <w:szCs w:val="24"/>
              </w:rPr>
              <w:t>技术参数要求：</w:t>
            </w:r>
          </w:p>
        </w:tc>
        <w:tc>
          <w:tcPr>
            <w:tcW w:w="460" w:type="dxa"/>
            <w:vAlign w:val="center"/>
          </w:tcPr>
          <w:p w14:paraId="053BF901">
            <w:pPr>
              <w:jc w:val="right"/>
              <w:rPr>
                <w:rFonts w:ascii="宋体" w:hAnsi="宋体" w:cs="宋体"/>
                <w:color w:val="000000"/>
                <w:sz w:val="22"/>
              </w:rPr>
            </w:pPr>
            <w:r>
              <w:rPr>
                <w:color w:val="000000"/>
                <w:sz w:val="22"/>
              </w:rPr>
              <w:t>1</w:t>
            </w:r>
          </w:p>
        </w:tc>
        <w:tc>
          <w:tcPr>
            <w:tcW w:w="9376" w:type="dxa"/>
            <w:gridSpan w:val="3"/>
          </w:tcPr>
          <w:p w14:paraId="68CC585A">
            <w:pPr>
              <w:rPr>
                <w:szCs w:val="21"/>
              </w:rPr>
            </w:pPr>
            <w:r>
              <w:rPr>
                <w:rFonts w:hint="eastAsia" w:ascii="宋体" w:hAnsi="宋体"/>
                <w:szCs w:val="21"/>
              </w:rPr>
              <w:t>设备必须通过民用机场专用设备检测并在</w:t>
            </w:r>
            <w:r>
              <w:rPr>
                <w:rFonts w:hint="eastAsia"/>
                <w:szCs w:val="21"/>
              </w:rPr>
              <w:t>《</w:t>
            </w:r>
            <w:bookmarkStart w:id="0" w:name="OLE_LINK9"/>
            <w:bookmarkStart w:id="1" w:name="OLE_LINK8"/>
            <w:r>
              <w:rPr>
                <w:rFonts w:hint="eastAsia" w:ascii="宋体" w:hAnsi="宋体"/>
                <w:szCs w:val="21"/>
              </w:rPr>
              <w:t>民用机场专用设备信息管理系统</w:t>
            </w:r>
            <w:bookmarkEnd w:id="0"/>
            <w:bookmarkEnd w:id="1"/>
            <w:r>
              <w:rPr>
                <w:rFonts w:hint="eastAsia"/>
                <w:szCs w:val="21"/>
              </w:rPr>
              <w:t>》</w:t>
            </w:r>
            <w:r>
              <w:rPr>
                <w:rFonts w:hint="eastAsia" w:ascii="宋体" w:hAnsi="宋体"/>
                <w:szCs w:val="21"/>
              </w:rPr>
              <w:t>通告内的产品，并提供真实、有效的证明文件；</w:t>
            </w:r>
          </w:p>
        </w:tc>
      </w:tr>
      <w:tr w14:paraId="285B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textDirection w:val="tbRl"/>
          </w:tcPr>
          <w:p w14:paraId="5F8142A0">
            <w:pPr>
              <w:ind w:left="113" w:right="113"/>
              <w:jc w:val="center"/>
              <w:rPr>
                <w:sz w:val="24"/>
                <w:szCs w:val="24"/>
              </w:rPr>
            </w:pPr>
          </w:p>
        </w:tc>
        <w:tc>
          <w:tcPr>
            <w:tcW w:w="460" w:type="dxa"/>
            <w:vAlign w:val="center"/>
          </w:tcPr>
          <w:p w14:paraId="7CE5EEDB">
            <w:pPr>
              <w:jc w:val="right"/>
              <w:rPr>
                <w:color w:val="000000"/>
                <w:sz w:val="22"/>
              </w:rPr>
            </w:pPr>
            <w:r>
              <w:rPr>
                <w:rFonts w:hint="eastAsia"/>
                <w:color w:val="000000"/>
                <w:sz w:val="22"/>
              </w:rPr>
              <w:t>2</w:t>
            </w:r>
          </w:p>
        </w:tc>
        <w:tc>
          <w:tcPr>
            <w:tcW w:w="9376" w:type="dxa"/>
            <w:gridSpan w:val="3"/>
          </w:tcPr>
          <w:p w14:paraId="1C0935A1">
            <w:pPr>
              <w:rPr>
                <w:rFonts w:ascii="宋体" w:hAnsi="宋体"/>
              </w:rPr>
            </w:pPr>
            <w:r>
              <w:rPr>
                <w:rFonts w:hint="eastAsia" w:ascii="宋体" w:hAnsi="宋体"/>
              </w:rPr>
              <w:t>整机性能需完全符合</w:t>
            </w:r>
            <w:r>
              <w:rPr>
                <w:rFonts w:hint="eastAsia"/>
                <w:szCs w:val="21"/>
              </w:rPr>
              <w:t>《中华人民共和国民用航空行业标准》MH/T6109-2014飞机地面空调机组的全部技术条款，重点覆盖制</w:t>
            </w:r>
            <w:r>
              <w:rPr>
                <w:rFonts w:hint="eastAsia" w:ascii="宋体" w:hAnsi="宋体"/>
              </w:rPr>
              <w:t>冷量、静压、风量等核心参数及安全要求</w:t>
            </w:r>
            <w:r>
              <w:rPr>
                <w:rFonts w:hint="eastAsia"/>
                <w:szCs w:val="21"/>
              </w:rPr>
              <w:t>的相关要求；</w:t>
            </w:r>
          </w:p>
        </w:tc>
      </w:tr>
      <w:tr w14:paraId="07B67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textDirection w:val="tbRl"/>
          </w:tcPr>
          <w:p w14:paraId="2ECAB6CC">
            <w:pPr>
              <w:ind w:left="113" w:right="113"/>
              <w:jc w:val="center"/>
              <w:rPr>
                <w:sz w:val="24"/>
                <w:szCs w:val="24"/>
              </w:rPr>
            </w:pPr>
          </w:p>
        </w:tc>
        <w:tc>
          <w:tcPr>
            <w:tcW w:w="460" w:type="dxa"/>
            <w:vAlign w:val="center"/>
          </w:tcPr>
          <w:p w14:paraId="31D3878E">
            <w:pPr>
              <w:jc w:val="right"/>
              <w:rPr>
                <w:rFonts w:ascii="宋体" w:hAnsi="宋体" w:cs="宋体"/>
                <w:color w:val="000000"/>
                <w:sz w:val="22"/>
              </w:rPr>
            </w:pPr>
            <w:r>
              <w:rPr>
                <w:rFonts w:hint="eastAsia"/>
                <w:color w:val="000000"/>
                <w:sz w:val="22"/>
              </w:rPr>
              <w:t>3</w:t>
            </w:r>
          </w:p>
        </w:tc>
        <w:tc>
          <w:tcPr>
            <w:tcW w:w="9376" w:type="dxa"/>
            <w:gridSpan w:val="3"/>
          </w:tcPr>
          <w:p w14:paraId="1B041C18">
            <w:pPr>
              <w:rPr>
                <w:szCs w:val="21"/>
              </w:rPr>
            </w:pPr>
            <w:r>
              <w:rPr>
                <w:rFonts w:hint="eastAsia" w:ascii="宋体" w:hAnsi="宋体"/>
              </w:rPr>
              <w:t>空调采用</w:t>
            </w:r>
            <w:r>
              <w:rPr>
                <w:rFonts w:hint="eastAsia" w:ascii="宋体" w:hAnsi="宋体"/>
                <w:lang w:val="en-US" w:eastAsia="zh-CN"/>
              </w:rPr>
              <w:t>无动力</w:t>
            </w:r>
            <w:r>
              <w:rPr>
                <w:rFonts w:hint="eastAsia" w:ascii="宋体" w:hAnsi="宋体"/>
              </w:rPr>
              <w:t>可移动底盘安装，底盘用实心橡胶轮胎，空调整机及关键部件具有较强的减震抗震性能，适应人工或拖车转场移动操作，配备牵引杆和停留驻车装置，具有拖曳过程中出现意外脱开后的自动刹车装置，底盘自动刹车装置需同时满足《飞机集装/散装货物拖车》(MH/T 6006-2020)中关于</w:t>
            </w:r>
            <w:bookmarkStart w:id="9" w:name="_GoBack"/>
            <w:bookmarkEnd w:id="9"/>
            <w:r>
              <w:rPr>
                <w:rFonts w:hint="eastAsia" w:ascii="宋体" w:hAnsi="宋体"/>
              </w:rPr>
              <w:t>拖曳安全的联锁要求，及《航空器地面服务设备勤务接头安全联锁技术要求和检测规范》(AC-137-CA-2024-07)中第 5.3 条"无动力/辅助动力设备安全联锁”条款，需提供专项检测报告证明合规性。所投标产品需提供抗风等级以供参考</w:t>
            </w:r>
            <w:r>
              <w:rPr>
                <w:rFonts w:hint="eastAsia"/>
                <w:szCs w:val="21"/>
              </w:rPr>
              <w:t>；</w:t>
            </w:r>
          </w:p>
        </w:tc>
      </w:tr>
      <w:tr w14:paraId="6431A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tcPr>
          <w:p w14:paraId="7F44BB4A">
            <w:pPr>
              <w:rPr>
                <w:sz w:val="24"/>
              </w:rPr>
            </w:pPr>
          </w:p>
        </w:tc>
        <w:tc>
          <w:tcPr>
            <w:tcW w:w="460" w:type="dxa"/>
            <w:vAlign w:val="center"/>
          </w:tcPr>
          <w:p w14:paraId="0AD1F588">
            <w:pPr>
              <w:jc w:val="right"/>
              <w:rPr>
                <w:rFonts w:ascii="宋体" w:hAnsi="宋体" w:cs="宋体"/>
                <w:color w:val="000000"/>
                <w:sz w:val="22"/>
              </w:rPr>
            </w:pPr>
            <w:r>
              <w:rPr>
                <w:rFonts w:hint="eastAsia"/>
                <w:color w:val="000000"/>
                <w:sz w:val="22"/>
              </w:rPr>
              <w:t>4</w:t>
            </w:r>
          </w:p>
        </w:tc>
        <w:tc>
          <w:tcPr>
            <w:tcW w:w="9376" w:type="dxa"/>
            <w:gridSpan w:val="3"/>
          </w:tcPr>
          <w:p w14:paraId="21BCD485">
            <w:pPr>
              <w:jc w:val="left"/>
              <w:rPr>
                <w:rFonts w:ascii="ËÎÌå" w:hAnsi="ËÎÌå"/>
              </w:rPr>
            </w:pPr>
            <w:r>
              <w:rPr>
                <w:rFonts w:hint="eastAsia" w:ascii="宋体" w:hAnsi="宋体" w:cs="宋体"/>
                <w:szCs w:val="21"/>
              </w:rPr>
              <w:t>根据</w:t>
            </w:r>
            <w:r>
              <w:rPr>
                <w:rFonts w:hint="eastAsia"/>
                <w:szCs w:val="21"/>
              </w:rPr>
              <w:t>《中华人民共和国民用航空行业标准》MH/T6109-2014</w:t>
            </w:r>
            <w:bookmarkStart w:id="2" w:name="OLE_LINK1"/>
            <w:r>
              <w:rPr>
                <w:rFonts w:hint="eastAsia"/>
                <w:szCs w:val="21"/>
              </w:rPr>
              <w:t>飞机地面空调</w:t>
            </w:r>
            <w:bookmarkEnd w:id="2"/>
            <w:r>
              <w:rPr>
                <w:rFonts w:hint="eastAsia"/>
                <w:szCs w:val="21"/>
              </w:rPr>
              <w:t>规格型号及额定性能参数，D类T</w:t>
            </w:r>
            <w:r>
              <w:rPr>
                <w:szCs w:val="21"/>
              </w:rPr>
              <w:t>4</w:t>
            </w:r>
            <w:r>
              <w:rPr>
                <w:rFonts w:hint="eastAsia"/>
                <w:szCs w:val="21"/>
              </w:rPr>
              <w:t>机型</w:t>
            </w:r>
            <w:r>
              <w:rPr>
                <w:rFonts w:hint="eastAsia" w:ascii="宋体" w:hAnsi="宋体" w:cs="宋体"/>
                <w:szCs w:val="21"/>
              </w:rPr>
              <w:t>名义制冷量≥248kW；机外静压≥5500Pa可调，送风量≥</w:t>
            </w:r>
            <w:r>
              <w:rPr>
                <w:rFonts w:hint="eastAsia" w:ascii="宋体" w:hAnsi="宋体"/>
                <w:szCs w:val="21"/>
              </w:rPr>
              <w:t>8100 m</w:t>
            </w:r>
            <w:r>
              <w:rPr>
                <w:rFonts w:hint="eastAsia" w:ascii="宋体" w:hAnsi="宋体"/>
                <w:szCs w:val="21"/>
                <w:vertAlign w:val="superscript"/>
              </w:rPr>
              <w:t>3</w:t>
            </w:r>
            <w:r>
              <w:rPr>
                <w:rFonts w:hint="eastAsia" w:ascii="宋体" w:hAnsi="宋体"/>
                <w:szCs w:val="21"/>
              </w:rPr>
              <w:t>/h可调，单制冷型。</w:t>
            </w:r>
            <w:r>
              <w:rPr>
                <w:rFonts w:hint="eastAsia" w:ascii="宋体" w:hAnsi="宋体" w:cs="宋体"/>
                <w:szCs w:val="21"/>
              </w:rPr>
              <w:t>所投标产品需提供配件清单及相应参数以供判断是否满足制冷要求；</w:t>
            </w:r>
          </w:p>
        </w:tc>
      </w:tr>
      <w:tr w14:paraId="420E3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tcPr>
          <w:p w14:paraId="4598E1A2">
            <w:pPr>
              <w:rPr>
                <w:sz w:val="24"/>
              </w:rPr>
            </w:pPr>
          </w:p>
        </w:tc>
        <w:tc>
          <w:tcPr>
            <w:tcW w:w="460" w:type="dxa"/>
            <w:vAlign w:val="center"/>
          </w:tcPr>
          <w:p w14:paraId="1514EFFA">
            <w:pPr>
              <w:jc w:val="right"/>
              <w:rPr>
                <w:color w:val="000000"/>
                <w:sz w:val="22"/>
              </w:rPr>
            </w:pPr>
            <w:r>
              <w:rPr>
                <w:rFonts w:hint="eastAsia"/>
                <w:color w:val="000000"/>
                <w:sz w:val="22"/>
              </w:rPr>
              <w:t>5</w:t>
            </w:r>
          </w:p>
        </w:tc>
        <w:tc>
          <w:tcPr>
            <w:tcW w:w="9376" w:type="dxa"/>
            <w:gridSpan w:val="3"/>
          </w:tcPr>
          <w:p w14:paraId="5F47016A">
            <w:pPr>
              <w:jc w:val="left"/>
              <w:rPr>
                <w:rFonts w:ascii="宋体" w:hAnsi="宋体"/>
              </w:rPr>
            </w:pPr>
            <w:r>
              <w:rPr>
                <w:rFonts w:hint="eastAsia"/>
                <w:szCs w:val="21"/>
              </w:rPr>
              <w:t>所投</w:t>
            </w:r>
            <w:r>
              <w:rPr>
                <w:rFonts w:hint="eastAsia" w:cs="Arial"/>
                <w:snapToGrid w:val="0"/>
                <w:szCs w:val="21"/>
              </w:rPr>
              <w:t>标飞机地面空调机组</w:t>
            </w:r>
            <w:r>
              <w:rPr>
                <w:rFonts w:hint="eastAsia"/>
                <w:szCs w:val="21"/>
              </w:rPr>
              <w:t>的</w:t>
            </w:r>
            <w:r>
              <w:rPr>
                <w:rFonts w:hint="eastAsia" w:cs="Arial"/>
                <w:snapToGrid w:val="0"/>
                <w:szCs w:val="21"/>
              </w:rPr>
              <w:t>各</w:t>
            </w:r>
            <w:r>
              <w:rPr>
                <w:rFonts w:cs="Arial"/>
                <w:snapToGrid w:val="0"/>
                <w:szCs w:val="21"/>
              </w:rPr>
              <w:t>项</w:t>
            </w:r>
            <w:r>
              <w:rPr>
                <w:rFonts w:hint="eastAsia" w:cs="Arial"/>
                <w:snapToGrid w:val="0"/>
                <w:szCs w:val="21"/>
              </w:rPr>
              <w:t>主要</w:t>
            </w:r>
            <w:r>
              <w:rPr>
                <w:rFonts w:cs="Arial"/>
                <w:snapToGrid w:val="0"/>
                <w:szCs w:val="21"/>
              </w:rPr>
              <w:t>设备</w:t>
            </w:r>
            <w:r>
              <w:rPr>
                <w:rFonts w:hint="eastAsia" w:cs="Arial"/>
                <w:snapToGrid w:val="0"/>
                <w:szCs w:val="21"/>
              </w:rPr>
              <w:t>（</w:t>
            </w:r>
            <w:r>
              <w:rPr>
                <w:rFonts w:hint="eastAsia" w:cs="Arial"/>
                <w:szCs w:val="21"/>
              </w:rPr>
              <w:t>底盘、机组压缩机、</w:t>
            </w:r>
            <w:r>
              <w:rPr>
                <w:rFonts w:hint="eastAsia" w:ascii="宋体" w:hAnsi="宋体"/>
                <w:szCs w:val="21"/>
              </w:rPr>
              <w:t>空调</w:t>
            </w:r>
            <w:r>
              <w:rPr>
                <w:rFonts w:hint="eastAsia" w:cs="Arial"/>
                <w:szCs w:val="21"/>
              </w:rPr>
              <w:t>机组控制模块</w:t>
            </w:r>
            <w:r>
              <w:rPr>
                <w:rFonts w:hint="eastAsia" w:cs="Arial"/>
                <w:snapToGrid w:val="0"/>
                <w:szCs w:val="21"/>
              </w:rPr>
              <w:t>）</w:t>
            </w:r>
            <w:r>
              <w:rPr>
                <w:rFonts w:hint="eastAsia"/>
                <w:szCs w:val="21"/>
              </w:rPr>
              <w:t>在中国应有一个</w:t>
            </w:r>
            <w:r>
              <w:rPr>
                <w:szCs w:val="21"/>
              </w:rPr>
              <w:t>(</w:t>
            </w:r>
            <w:r>
              <w:rPr>
                <w:rFonts w:hint="eastAsia"/>
                <w:szCs w:val="21"/>
              </w:rPr>
              <w:t>含</w:t>
            </w:r>
            <w:r>
              <w:rPr>
                <w:szCs w:val="21"/>
              </w:rPr>
              <w:t>)</w:t>
            </w:r>
            <w:r>
              <w:rPr>
                <w:rFonts w:hint="eastAsia"/>
                <w:szCs w:val="21"/>
              </w:rPr>
              <w:t>以上维修及配件供应网点；</w:t>
            </w:r>
          </w:p>
        </w:tc>
      </w:tr>
      <w:tr w14:paraId="2AC50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tcPr>
          <w:p w14:paraId="70026E73">
            <w:pPr>
              <w:rPr>
                <w:sz w:val="24"/>
              </w:rPr>
            </w:pPr>
          </w:p>
        </w:tc>
        <w:tc>
          <w:tcPr>
            <w:tcW w:w="460" w:type="dxa"/>
            <w:vAlign w:val="center"/>
          </w:tcPr>
          <w:p w14:paraId="2854356E">
            <w:pPr>
              <w:jc w:val="right"/>
              <w:rPr>
                <w:rFonts w:ascii="宋体" w:hAnsi="宋体" w:cs="宋体"/>
                <w:color w:val="000000"/>
                <w:sz w:val="22"/>
              </w:rPr>
            </w:pPr>
            <w:r>
              <w:rPr>
                <w:rFonts w:hint="eastAsia"/>
                <w:color w:val="000000"/>
                <w:sz w:val="22"/>
              </w:rPr>
              <w:t>6</w:t>
            </w:r>
          </w:p>
        </w:tc>
        <w:tc>
          <w:tcPr>
            <w:tcW w:w="9376" w:type="dxa"/>
            <w:gridSpan w:val="3"/>
          </w:tcPr>
          <w:p w14:paraId="419275FB">
            <w:pPr>
              <w:spacing w:line="0" w:lineRule="atLeast"/>
              <w:rPr>
                <w:rFonts w:ascii="宋体" w:hAnsi="宋体" w:cs="宋体"/>
                <w:szCs w:val="21"/>
              </w:rPr>
            </w:pPr>
            <w:r>
              <w:rPr>
                <w:rFonts w:hint="eastAsia" w:ascii="宋体" w:hAnsi="宋体"/>
                <w:szCs w:val="21"/>
              </w:rPr>
              <w:t>空调机组必须同时具有市电和</w:t>
            </w:r>
            <w:bookmarkStart w:id="3" w:name="OLE_LINK7"/>
            <w:bookmarkStart w:id="4" w:name="OLE_LINK6"/>
            <w:r>
              <w:rPr>
                <w:rFonts w:hint="eastAsia" w:ascii="宋体" w:hAnsi="宋体"/>
                <w:szCs w:val="21"/>
              </w:rPr>
              <w:t>柴油发动机</w:t>
            </w:r>
            <w:bookmarkEnd w:id="3"/>
            <w:bookmarkEnd w:id="4"/>
            <w:r>
              <w:rPr>
                <w:rFonts w:hint="eastAsia" w:ascii="宋体" w:hAnsi="宋体"/>
                <w:szCs w:val="21"/>
              </w:rPr>
              <w:t>两种驱动方式，可按需选择所需的驱动方式，</w:t>
            </w:r>
            <w:r>
              <w:rPr>
                <w:rFonts w:hint="eastAsia" w:hAnsi="宋体"/>
                <w:szCs w:val="21"/>
              </w:rPr>
              <w:t>机组制冷系统采用独立多系统并可以单独控制启停，单系统故障时，不影响整机保障性能。根据实际工作场景及使用需求，燃油使用时间必须</w:t>
            </w:r>
            <w:r>
              <w:rPr>
                <w:rFonts w:hint="eastAsia" w:ascii="宋体" w:hAnsi="宋体" w:cs="宋体"/>
                <w:szCs w:val="21"/>
              </w:rPr>
              <w:t>≥10H。</w:t>
            </w:r>
            <w:r>
              <w:rPr>
                <w:rFonts w:hint="eastAsia" w:ascii="宋体" w:hAnsi="宋体"/>
                <w:szCs w:val="21"/>
              </w:rPr>
              <w:t>我司机坪供电负载参数为：380VAC三相， 24V控制，160KW；可满足三相五线电源连接，适应±10％的电压和频率波动，设备最大用电参数和功率不得大于我司机坪供电能力；</w:t>
            </w:r>
          </w:p>
        </w:tc>
      </w:tr>
      <w:tr w14:paraId="608FF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tcPr>
          <w:p w14:paraId="71BD1813">
            <w:pPr>
              <w:rPr>
                <w:sz w:val="24"/>
              </w:rPr>
            </w:pPr>
          </w:p>
        </w:tc>
        <w:tc>
          <w:tcPr>
            <w:tcW w:w="460" w:type="dxa"/>
            <w:vAlign w:val="center"/>
          </w:tcPr>
          <w:p w14:paraId="7E51984B">
            <w:pPr>
              <w:jc w:val="right"/>
              <w:rPr>
                <w:color w:val="000000"/>
                <w:sz w:val="22"/>
              </w:rPr>
            </w:pPr>
            <w:r>
              <w:rPr>
                <w:rFonts w:hint="eastAsia"/>
                <w:color w:val="000000"/>
                <w:sz w:val="22"/>
              </w:rPr>
              <w:t>7</w:t>
            </w:r>
          </w:p>
        </w:tc>
        <w:tc>
          <w:tcPr>
            <w:tcW w:w="9376" w:type="dxa"/>
            <w:gridSpan w:val="3"/>
          </w:tcPr>
          <w:p w14:paraId="1B4C7E25">
            <w:pPr>
              <w:spacing w:line="0" w:lineRule="atLeast"/>
              <w:rPr>
                <w:rFonts w:ascii="宋体" w:hAnsi="宋体"/>
                <w:szCs w:val="21"/>
                <w:highlight w:val="yellow"/>
              </w:rPr>
            </w:pPr>
            <w:r>
              <w:rPr>
                <w:rFonts w:hint="eastAsia" w:ascii="宋体" w:hAnsi="宋体"/>
                <w:szCs w:val="21"/>
              </w:rPr>
              <w:t>柴油发动机排放标准需满足国四及以上限值要求，排气烟度满足GB3847-2005的要求；</w:t>
            </w:r>
          </w:p>
        </w:tc>
      </w:tr>
      <w:tr w14:paraId="1BBAD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4CAA8E9D">
            <w:pPr>
              <w:rPr>
                <w:sz w:val="24"/>
              </w:rPr>
            </w:pPr>
          </w:p>
        </w:tc>
        <w:tc>
          <w:tcPr>
            <w:tcW w:w="460" w:type="dxa"/>
            <w:vAlign w:val="center"/>
          </w:tcPr>
          <w:p w14:paraId="462DF2E7">
            <w:pPr>
              <w:jc w:val="right"/>
              <w:rPr>
                <w:rFonts w:ascii="宋体" w:hAnsi="宋体" w:cs="宋体"/>
                <w:color w:val="000000"/>
                <w:sz w:val="22"/>
              </w:rPr>
            </w:pPr>
            <w:r>
              <w:rPr>
                <w:rFonts w:hint="eastAsia"/>
                <w:color w:val="000000"/>
                <w:sz w:val="22"/>
              </w:rPr>
              <w:t>8</w:t>
            </w:r>
          </w:p>
        </w:tc>
        <w:tc>
          <w:tcPr>
            <w:tcW w:w="9376" w:type="dxa"/>
            <w:gridSpan w:val="3"/>
          </w:tcPr>
          <w:p w14:paraId="6BCC67E6">
            <w:pPr>
              <w:spacing w:line="0" w:lineRule="atLeast"/>
              <w:rPr>
                <w:rFonts w:ascii="宋体" w:hAnsi="宋体" w:cs="宋体"/>
                <w:szCs w:val="21"/>
              </w:rPr>
            </w:pPr>
            <w:r>
              <w:rPr>
                <w:rFonts w:hint="eastAsia" w:ascii="宋体" w:hAnsi="宋体"/>
                <w:szCs w:val="21"/>
              </w:rPr>
              <w:t>机组供电具有自动相序切换和其它供电安全保护功能，适应不同地点任意供电接线状态下机组的正常使用；</w:t>
            </w:r>
          </w:p>
        </w:tc>
      </w:tr>
      <w:tr w14:paraId="25FA5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69C5733A">
            <w:pPr>
              <w:rPr>
                <w:sz w:val="24"/>
              </w:rPr>
            </w:pPr>
          </w:p>
        </w:tc>
        <w:tc>
          <w:tcPr>
            <w:tcW w:w="460" w:type="dxa"/>
            <w:vAlign w:val="center"/>
          </w:tcPr>
          <w:p w14:paraId="56E26504">
            <w:pPr>
              <w:jc w:val="right"/>
              <w:rPr>
                <w:color w:val="000000"/>
                <w:sz w:val="22"/>
              </w:rPr>
            </w:pPr>
            <w:r>
              <w:rPr>
                <w:rFonts w:hint="eastAsia"/>
                <w:color w:val="000000"/>
                <w:sz w:val="22"/>
              </w:rPr>
              <w:t>9</w:t>
            </w:r>
          </w:p>
        </w:tc>
        <w:tc>
          <w:tcPr>
            <w:tcW w:w="9376" w:type="dxa"/>
            <w:gridSpan w:val="3"/>
          </w:tcPr>
          <w:p w14:paraId="464A2857">
            <w:pPr>
              <w:spacing w:line="0" w:lineRule="atLeast"/>
              <w:rPr>
                <w:rFonts w:ascii="宋体" w:hAnsi="宋体" w:cs="宋体"/>
                <w:szCs w:val="21"/>
              </w:rPr>
            </w:pPr>
            <w:r>
              <w:rPr>
                <w:rFonts w:hint="eastAsia" w:ascii="宋体" w:hAnsi="宋体"/>
                <w:szCs w:val="21"/>
              </w:rPr>
              <w:t>动力电缆需</w:t>
            </w:r>
            <w:r>
              <w:rPr>
                <w:rFonts w:hint="eastAsia" w:ascii="宋体" w:hAnsi="宋体" w:cs="宋体"/>
                <w:szCs w:val="21"/>
              </w:rPr>
              <w:t>≥</w:t>
            </w:r>
            <w:r>
              <w:rPr>
                <w:rFonts w:hint="eastAsia" w:ascii="宋体" w:hAnsi="宋体"/>
                <w:szCs w:val="21"/>
              </w:rPr>
              <w:t>15米，应采用橡套软电缆，并采用绕线器等方便收放的电缆存放装置，配置防水防尘、带控制信号插针的NP75091插头并配置保护盖；</w:t>
            </w:r>
          </w:p>
        </w:tc>
      </w:tr>
      <w:tr w14:paraId="0689D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7FDF04CC">
            <w:pPr>
              <w:rPr>
                <w:sz w:val="24"/>
              </w:rPr>
            </w:pPr>
          </w:p>
        </w:tc>
        <w:tc>
          <w:tcPr>
            <w:tcW w:w="460" w:type="dxa"/>
            <w:vAlign w:val="center"/>
          </w:tcPr>
          <w:p w14:paraId="29C80437">
            <w:pPr>
              <w:jc w:val="right"/>
              <w:rPr>
                <w:rFonts w:ascii="宋体" w:hAnsi="宋体" w:cs="宋体"/>
                <w:color w:val="000000"/>
                <w:sz w:val="22"/>
              </w:rPr>
            </w:pPr>
            <w:r>
              <w:rPr>
                <w:rFonts w:hint="eastAsia"/>
                <w:color w:val="000000"/>
                <w:sz w:val="22"/>
              </w:rPr>
              <w:t>10</w:t>
            </w:r>
          </w:p>
        </w:tc>
        <w:tc>
          <w:tcPr>
            <w:tcW w:w="9376" w:type="dxa"/>
            <w:gridSpan w:val="3"/>
            <w:vAlign w:val="center"/>
          </w:tcPr>
          <w:p w14:paraId="7956806D">
            <w:pPr>
              <w:rPr>
                <w:szCs w:val="21"/>
              </w:rPr>
            </w:pPr>
            <w:r>
              <w:rPr>
                <w:rFonts w:hint="eastAsia" w:ascii="宋体" w:hAnsi="宋体"/>
                <w:szCs w:val="21"/>
              </w:rPr>
              <w:t>所使用的制冷剂必须为常用的符合国家环保政策的冷媒；</w:t>
            </w:r>
          </w:p>
        </w:tc>
      </w:tr>
      <w:tr w14:paraId="25CC4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71E17F86">
            <w:pPr>
              <w:rPr>
                <w:sz w:val="24"/>
              </w:rPr>
            </w:pPr>
          </w:p>
        </w:tc>
        <w:tc>
          <w:tcPr>
            <w:tcW w:w="460" w:type="dxa"/>
            <w:vAlign w:val="center"/>
          </w:tcPr>
          <w:p w14:paraId="72E6279F">
            <w:pPr>
              <w:jc w:val="right"/>
              <w:rPr>
                <w:rFonts w:ascii="宋体" w:hAnsi="宋体" w:cs="宋体"/>
                <w:color w:val="000000"/>
                <w:sz w:val="22"/>
              </w:rPr>
            </w:pPr>
            <w:r>
              <w:rPr>
                <w:rFonts w:hint="eastAsia"/>
                <w:color w:val="000000"/>
                <w:sz w:val="22"/>
              </w:rPr>
              <w:t>11</w:t>
            </w:r>
          </w:p>
        </w:tc>
        <w:tc>
          <w:tcPr>
            <w:tcW w:w="9376" w:type="dxa"/>
            <w:gridSpan w:val="3"/>
            <w:vAlign w:val="center"/>
          </w:tcPr>
          <w:p w14:paraId="028AE6FE">
            <w:pPr>
              <w:rPr>
                <w:szCs w:val="21"/>
              </w:rPr>
            </w:pPr>
            <w:r>
              <w:rPr>
                <w:rFonts w:hint="eastAsia" w:ascii="宋体" w:hAnsi="宋体"/>
                <w:szCs w:val="21"/>
              </w:rPr>
              <w:t>供气系统进、出口端应安装可拆卸清洗的空气过滤器，过滤器应能防止腐蚀分解，老化后不致有杂质混入风道内；</w:t>
            </w:r>
          </w:p>
        </w:tc>
      </w:tr>
      <w:tr w14:paraId="13679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287A9AAC">
            <w:pPr>
              <w:rPr>
                <w:sz w:val="24"/>
              </w:rPr>
            </w:pPr>
          </w:p>
        </w:tc>
        <w:tc>
          <w:tcPr>
            <w:tcW w:w="460" w:type="dxa"/>
            <w:vAlign w:val="center"/>
          </w:tcPr>
          <w:p w14:paraId="028C6E70">
            <w:pPr>
              <w:jc w:val="right"/>
              <w:rPr>
                <w:rFonts w:ascii="宋体" w:hAnsi="宋体" w:cs="宋体"/>
                <w:color w:val="000000"/>
                <w:sz w:val="22"/>
              </w:rPr>
            </w:pPr>
            <w:r>
              <w:rPr>
                <w:rFonts w:hint="eastAsia"/>
                <w:color w:val="000000"/>
                <w:sz w:val="22"/>
              </w:rPr>
              <w:t>12</w:t>
            </w:r>
          </w:p>
        </w:tc>
        <w:tc>
          <w:tcPr>
            <w:tcW w:w="9376" w:type="dxa"/>
            <w:gridSpan w:val="3"/>
            <w:vAlign w:val="center"/>
          </w:tcPr>
          <w:p w14:paraId="607569C5">
            <w:pPr>
              <w:rPr>
                <w:szCs w:val="21"/>
              </w:rPr>
            </w:pPr>
            <w:r>
              <w:rPr>
                <w:rFonts w:hint="eastAsia" w:ascii="宋体" w:hAnsi="宋体"/>
                <w:szCs w:val="21"/>
              </w:rPr>
              <w:t>设备须配备2个或2个以上独立的便于接管的出风口，各风口风量可以根据需要由0到最大自由调节；</w:t>
            </w:r>
          </w:p>
        </w:tc>
      </w:tr>
      <w:tr w14:paraId="74406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07DBF51A">
            <w:pPr>
              <w:rPr>
                <w:sz w:val="24"/>
              </w:rPr>
            </w:pPr>
          </w:p>
        </w:tc>
        <w:tc>
          <w:tcPr>
            <w:tcW w:w="460" w:type="dxa"/>
            <w:vAlign w:val="center"/>
          </w:tcPr>
          <w:p w14:paraId="1C56A803">
            <w:pPr>
              <w:jc w:val="right"/>
              <w:rPr>
                <w:rFonts w:ascii="宋体" w:hAnsi="宋体" w:cs="宋体"/>
                <w:color w:val="000000"/>
                <w:sz w:val="22"/>
              </w:rPr>
            </w:pPr>
            <w:r>
              <w:rPr>
                <w:rFonts w:hint="eastAsia"/>
                <w:color w:val="000000"/>
                <w:sz w:val="22"/>
              </w:rPr>
              <w:t>13</w:t>
            </w:r>
          </w:p>
        </w:tc>
        <w:tc>
          <w:tcPr>
            <w:tcW w:w="9376" w:type="dxa"/>
            <w:gridSpan w:val="3"/>
            <w:vAlign w:val="center"/>
          </w:tcPr>
          <w:p w14:paraId="43782C18">
            <w:pPr>
              <w:rPr>
                <w:szCs w:val="21"/>
                <w:highlight w:val="yellow"/>
              </w:rPr>
            </w:pPr>
            <w:r>
              <w:rPr>
                <w:rFonts w:hint="eastAsia" w:ascii="宋体" w:hAnsi="宋体"/>
                <w:szCs w:val="21"/>
              </w:rPr>
              <w:t>设备须配备2套与飞机连接的供风管，供风管为保温风管，供风管为多段式，每段长度约10米，每1套供风管总长度不低于</w:t>
            </w:r>
            <w:r>
              <w:rPr>
                <w:rFonts w:ascii="宋体" w:hAnsi="宋体"/>
                <w:szCs w:val="21"/>
              </w:rPr>
              <w:t>4</w:t>
            </w:r>
            <w:r>
              <w:rPr>
                <w:rFonts w:hint="eastAsia" w:ascii="宋体" w:hAnsi="宋体"/>
                <w:szCs w:val="21"/>
              </w:rPr>
              <w:t>0米，供风管与供风管、供风管与机组的连接采用快速接头连接，能在不使用工具的情况下快速连接与卸下供风管，</w:t>
            </w:r>
            <w:bookmarkStart w:id="5" w:name="OLE_LINK5"/>
            <w:bookmarkStart w:id="6" w:name="OLE_LINK4"/>
            <w:r>
              <w:rPr>
                <w:rFonts w:hint="eastAsia" w:ascii="宋体" w:hAnsi="宋体"/>
                <w:szCs w:val="21"/>
              </w:rPr>
              <w:t>供风管与飞机的接头</w:t>
            </w:r>
            <w:bookmarkEnd w:id="5"/>
            <w:bookmarkEnd w:id="6"/>
            <w:r>
              <w:rPr>
                <w:rFonts w:hint="eastAsia" w:ascii="宋体" w:hAnsi="宋体"/>
                <w:szCs w:val="21"/>
              </w:rPr>
              <w:t>必须适用于787/330/320/737及以下机型，供风管与飞机的接头配备数量为4个；</w:t>
            </w:r>
          </w:p>
        </w:tc>
      </w:tr>
      <w:tr w14:paraId="1218C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480D9F4F">
            <w:pPr>
              <w:rPr>
                <w:sz w:val="24"/>
              </w:rPr>
            </w:pPr>
          </w:p>
        </w:tc>
        <w:tc>
          <w:tcPr>
            <w:tcW w:w="460" w:type="dxa"/>
            <w:vAlign w:val="center"/>
          </w:tcPr>
          <w:p w14:paraId="4DA573D6">
            <w:pPr>
              <w:jc w:val="right"/>
              <w:rPr>
                <w:rFonts w:ascii="宋体" w:hAnsi="宋体" w:cs="宋体"/>
                <w:color w:val="000000"/>
                <w:sz w:val="22"/>
              </w:rPr>
            </w:pPr>
            <w:r>
              <w:rPr>
                <w:rFonts w:hint="eastAsia"/>
                <w:color w:val="000000"/>
                <w:sz w:val="22"/>
              </w:rPr>
              <w:t>14</w:t>
            </w:r>
          </w:p>
        </w:tc>
        <w:tc>
          <w:tcPr>
            <w:tcW w:w="9376" w:type="dxa"/>
            <w:gridSpan w:val="3"/>
            <w:vAlign w:val="center"/>
          </w:tcPr>
          <w:p w14:paraId="5F59C649">
            <w:pPr>
              <w:rPr>
                <w:rFonts w:ascii="宋体" w:hAnsi="宋体"/>
                <w:szCs w:val="21"/>
              </w:rPr>
            </w:pPr>
            <w:r>
              <w:rPr>
                <w:rFonts w:hint="eastAsia" w:ascii="宋体" w:hAnsi="宋体"/>
                <w:szCs w:val="21"/>
              </w:rPr>
              <w:t>控制系统应有通电、运行正常、温度、油量、运行小时表等的指示灯和显示器，主要运行数据、</w:t>
            </w:r>
            <w:r>
              <w:rPr>
                <w:rFonts w:hint="eastAsia" w:hAnsi="宋体"/>
                <w:szCs w:val="21"/>
              </w:rPr>
              <w:t>故障历史等</w:t>
            </w:r>
            <w:r>
              <w:rPr>
                <w:rFonts w:hint="eastAsia" w:ascii="宋体" w:hAnsi="宋体"/>
                <w:szCs w:val="21"/>
              </w:rPr>
              <w:t>显示，对空调主要故障能自动检测、报警；</w:t>
            </w:r>
          </w:p>
        </w:tc>
      </w:tr>
      <w:tr w14:paraId="19E0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5C9B8E1B">
            <w:pPr>
              <w:rPr>
                <w:sz w:val="24"/>
              </w:rPr>
            </w:pPr>
          </w:p>
        </w:tc>
        <w:tc>
          <w:tcPr>
            <w:tcW w:w="460" w:type="dxa"/>
            <w:vAlign w:val="center"/>
          </w:tcPr>
          <w:p w14:paraId="56A785D6">
            <w:pPr>
              <w:jc w:val="right"/>
              <w:rPr>
                <w:rFonts w:ascii="宋体" w:hAnsi="宋体" w:cs="宋体"/>
                <w:color w:val="000000"/>
                <w:sz w:val="22"/>
              </w:rPr>
            </w:pPr>
            <w:r>
              <w:rPr>
                <w:rFonts w:hint="eastAsia"/>
                <w:color w:val="000000"/>
                <w:sz w:val="22"/>
              </w:rPr>
              <w:t>15</w:t>
            </w:r>
          </w:p>
        </w:tc>
        <w:tc>
          <w:tcPr>
            <w:tcW w:w="9376" w:type="dxa"/>
            <w:gridSpan w:val="3"/>
            <w:vAlign w:val="center"/>
          </w:tcPr>
          <w:p w14:paraId="73C64F63">
            <w:pPr>
              <w:rPr>
                <w:rFonts w:ascii="宋体" w:hAnsi="宋体"/>
                <w:szCs w:val="21"/>
              </w:rPr>
            </w:pPr>
            <w:r>
              <w:rPr>
                <w:rFonts w:hint="eastAsia" w:ascii="宋体" w:hAnsi="宋体"/>
                <w:szCs w:val="21"/>
              </w:rPr>
              <w:t>控制系统应能实现自动控制，控制系统应保证空调平稳启动和可靠工作，并应有必要的互锁装置和防误操作功能；</w:t>
            </w:r>
          </w:p>
        </w:tc>
      </w:tr>
      <w:tr w14:paraId="22356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5268F17E">
            <w:pPr>
              <w:rPr>
                <w:sz w:val="24"/>
              </w:rPr>
            </w:pPr>
          </w:p>
        </w:tc>
        <w:tc>
          <w:tcPr>
            <w:tcW w:w="460" w:type="dxa"/>
            <w:vAlign w:val="center"/>
          </w:tcPr>
          <w:p w14:paraId="1F055547">
            <w:pPr>
              <w:jc w:val="right"/>
              <w:rPr>
                <w:rFonts w:ascii="宋体" w:hAnsi="宋体" w:cs="宋体"/>
                <w:color w:val="000000"/>
                <w:sz w:val="22"/>
              </w:rPr>
            </w:pPr>
            <w:r>
              <w:rPr>
                <w:rFonts w:hint="eastAsia"/>
                <w:color w:val="000000"/>
                <w:sz w:val="22"/>
              </w:rPr>
              <w:t>16</w:t>
            </w:r>
          </w:p>
        </w:tc>
        <w:tc>
          <w:tcPr>
            <w:tcW w:w="9376" w:type="dxa"/>
            <w:gridSpan w:val="3"/>
            <w:vAlign w:val="center"/>
          </w:tcPr>
          <w:p w14:paraId="2AA54ADA">
            <w:pPr>
              <w:rPr>
                <w:rFonts w:ascii="宋体" w:hAnsi="宋体"/>
                <w:szCs w:val="21"/>
              </w:rPr>
            </w:pPr>
            <w:r>
              <w:rPr>
                <w:rFonts w:hint="eastAsia" w:ascii="宋体" w:hAnsi="宋体"/>
                <w:szCs w:val="21"/>
              </w:rPr>
              <w:t>控制系统应具有明显的远距离可视报警功能；</w:t>
            </w:r>
          </w:p>
        </w:tc>
      </w:tr>
      <w:tr w14:paraId="149A8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74CA40EE">
            <w:pPr>
              <w:rPr>
                <w:sz w:val="24"/>
              </w:rPr>
            </w:pPr>
          </w:p>
        </w:tc>
        <w:tc>
          <w:tcPr>
            <w:tcW w:w="460" w:type="dxa"/>
            <w:vAlign w:val="center"/>
          </w:tcPr>
          <w:p w14:paraId="0E29EF3D">
            <w:pPr>
              <w:jc w:val="right"/>
              <w:rPr>
                <w:rFonts w:ascii="宋体" w:hAnsi="宋体" w:cs="宋体"/>
                <w:color w:val="000000"/>
                <w:sz w:val="22"/>
              </w:rPr>
            </w:pPr>
            <w:r>
              <w:rPr>
                <w:rFonts w:hint="eastAsia"/>
                <w:color w:val="000000"/>
                <w:sz w:val="22"/>
              </w:rPr>
              <w:t>17</w:t>
            </w:r>
          </w:p>
        </w:tc>
        <w:tc>
          <w:tcPr>
            <w:tcW w:w="9376" w:type="dxa"/>
            <w:gridSpan w:val="3"/>
            <w:vAlign w:val="center"/>
          </w:tcPr>
          <w:p w14:paraId="79CBA58A">
            <w:pPr>
              <w:rPr>
                <w:szCs w:val="21"/>
              </w:rPr>
            </w:pPr>
            <w:r>
              <w:rPr>
                <w:rFonts w:hint="eastAsia" w:ascii="宋体" w:hAnsi="宋体"/>
                <w:szCs w:val="21"/>
              </w:rPr>
              <w:t>控制器选用具有温度控制的内置PLC的数码DDC控制器；</w:t>
            </w:r>
          </w:p>
        </w:tc>
      </w:tr>
      <w:tr w14:paraId="31C82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1D8FFBCE">
            <w:pPr>
              <w:rPr>
                <w:sz w:val="24"/>
              </w:rPr>
            </w:pPr>
          </w:p>
        </w:tc>
        <w:tc>
          <w:tcPr>
            <w:tcW w:w="460" w:type="dxa"/>
            <w:vAlign w:val="center"/>
          </w:tcPr>
          <w:p w14:paraId="37BBC56F">
            <w:pPr>
              <w:jc w:val="right"/>
              <w:rPr>
                <w:rFonts w:ascii="宋体" w:hAnsi="宋体" w:cs="宋体"/>
                <w:color w:val="000000"/>
                <w:sz w:val="22"/>
              </w:rPr>
            </w:pPr>
            <w:r>
              <w:rPr>
                <w:rFonts w:hint="eastAsia"/>
                <w:color w:val="000000"/>
                <w:sz w:val="22"/>
              </w:rPr>
              <w:t>18</w:t>
            </w:r>
          </w:p>
        </w:tc>
        <w:tc>
          <w:tcPr>
            <w:tcW w:w="9376" w:type="dxa"/>
            <w:gridSpan w:val="3"/>
            <w:vAlign w:val="center"/>
          </w:tcPr>
          <w:p w14:paraId="3992049F">
            <w:pPr>
              <w:spacing w:line="400" w:lineRule="exact"/>
              <w:rPr>
                <w:rFonts w:hAnsi="宋体"/>
                <w:szCs w:val="21"/>
              </w:rPr>
            </w:pPr>
            <w:bookmarkStart w:id="7" w:name="OLE_LINK2"/>
            <w:r>
              <w:rPr>
                <w:rFonts w:hint="eastAsia"/>
                <w:color w:val="000000"/>
              </w:rPr>
              <w:t>整机防护需满足户外使用要求，</w:t>
            </w:r>
            <w:r>
              <w:rPr>
                <w:rFonts w:hint="eastAsia" w:ascii="Calibri" w:hAnsi="Calibri"/>
                <w:szCs w:val="21"/>
              </w:rPr>
              <w:t>防护等级不低于I</w:t>
            </w:r>
            <w:r>
              <w:rPr>
                <w:rFonts w:ascii="Calibri" w:hAnsi="Calibri"/>
                <w:szCs w:val="21"/>
              </w:rPr>
              <w:t>P65标准</w:t>
            </w:r>
            <w:bookmarkEnd w:id="7"/>
            <w:r>
              <w:rPr>
                <w:rFonts w:hint="eastAsia" w:ascii="Calibri" w:hAnsi="Calibri"/>
                <w:szCs w:val="21"/>
              </w:rPr>
              <w:t>；</w:t>
            </w:r>
          </w:p>
        </w:tc>
      </w:tr>
      <w:tr w14:paraId="4A3F3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6633BD50">
            <w:pPr>
              <w:rPr>
                <w:sz w:val="24"/>
              </w:rPr>
            </w:pPr>
          </w:p>
        </w:tc>
        <w:tc>
          <w:tcPr>
            <w:tcW w:w="460" w:type="dxa"/>
            <w:vAlign w:val="center"/>
          </w:tcPr>
          <w:p w14:paraId="69F2964E">
            <w:pPr>
              <w:jc w:val="right"/>
              <w:rPr>
                <w:color w:val="000000"/>
                <w:sz w:val="22"/>
              </w:rPr>
            </w:pPr>
            <w:r>
              <w:rPr>
                <w:rFonts w:hint="eastAsia"/>
                <w:color w:val="000000"/>
                <w:sz w:val="22"/>
              </w:rPr>
              <w:t>19</w:t>
            </w:r>
          </w:p>
        </w:tc>
        <w:tc>
          <w:tcPr>
            <w:tcW w:w="9376" w:type="dxa"/>
            <w:gridSpan w:val="3"/>
          </w:tcPr>
          <w:p w14:paraId="1A7D0BED">
            <w:pPr>
              <w:rPr>
                <w:szCs w:val="21"/>
              </w:rPr>
            </w:pPr>
            <w:r>
              <w:rPr>
                <w:rFonts w:hint="eastAsia" w:hAnsi="宋体"/>
                <w:szCs w:val="21"/>
              </w:rPr>
              <w:t>须在机组醒目位置配备紧急停机按钮，配备警示灯，图示说明；</w:t>
            </w:r>
          </w:p>
        </w:tc>
      </w:tr>
      <w:tr w14:paraId="54B26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755CDFBC">
            <w:pPr>
              <w:rPr>
                <w:sz w:val="24"/>
              </w:rPr>
            </w:pPr>
          </w:p>
        </w:tc>
        <w:tc>
          <w:tcPr>
            <w:tcW w:w="460" w:type="dxa"/>
            <w:vAlign w:val="center"/>
          </w:tcPr>
          <w:p w14:paraId="0700369F">
            <w:pPr>
              <w:jc w:val="right"/>
              <w:rPr>
                <w:color w:val="000000"/>
                <w:sz w:val="22"/>
              </w:rPr>
            </w:pPr>
            <w:r>
              <w:rPr>
                <w:rFonts w:hint="eastAsia"/>
                <w:color w:val="000000"/>
                <w:sz w:val="22"/>
              </w:rPr>
              <w:t>20</w:t>
            </w:r>
          </w:p>
        </w:tc>
        <w:tc>
          <w:tcPr>
            <w:tcW w:w="9376" w:type="dxa"/>
            <w:gridSpan w:val="3"/>
            <w:vAlign w:val="center"/>
          </w:tcPr>
          <w:p w14:paraId="2E3C270A">
            <w:pPr>
              <w:rPr>
                <w:rFonts w:ascii="宋体" w:hAnsi="宋体"/>
                <w:szCs w:val="21"/>
              </w:rPr>
            </w:pPr>
            <w:r>
              <w:rPr>
                <w:rFonts w:hint="eastAsia" w:ascii="宋体" w:hAnsi="宋体"/>
                <w:szCs w:val="21"/>
              </w:rPr>
              <w:t>空调机组应有超压、超温等的保护和报警装置；</w:t>
            </w:r>
          </w:p>
        </w:tc>
      </w:tr>
      <w:tr w14:paraId="6C6F8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5AA8C025">
            <w:pPr>
              <w:rPr>
                <w:sz w:val="24"/>
              </w:rPr>
            </w:pPr>
          </w:p>
        </w:tc>
        <w:tc>
          <w:tcPr>
            <w:tcW w:w="460" w:type="dxa"/>
            <w:vAlign w:val="center"/>
          </w:tcPr>
          <w:p w14:paraId="16E022A9">
            <w:pPr>
              <w:jc w:val="right"/>
              <w:rPr>
                <w:rFonts w:ascii="宋体" w:hAnsi="宋体" w:cs="宋体"/>
                <w:color w:val="000000"/>
                <w:sz w:val="22"/>
              </w:rPr>
            </w:pPr>
            <w:r>
              <w:rPr>
                <w:rFonts w:hint="eastAsia"/>
                <w:color w:val="000000"/>
                <w:sz w:val="22"/>
              </w:rPr>
              <w:t>21</w:t>
            </w:r>
          </w:p>
        </w:tc>
        <w:tc>
          <w:tcPr>
            <w:tcW w:w="9376" w:type="dxa"/>
            <w:gridSpan w:val="3"/>
            <w:vAlign w:val="center"/>
          </w:tcPr>
          <w:p w14:paraId="2F9E715B">
            <w:pPr>
              <w:spacing w:line="400" w:lineRule="exact"/>
              <w:rPr>
                <w:rFonts w:hAnsi="宋体"/>
                <w:szCs w:val="21"/>
              </w:rPr>
            </w:pPr>
            <w:r>
              <w:rPr>
                <w:rFonts w:hint="eastAsia" w:ascii="宋体" w:hAnsi="宋体"/>
                <w:szCs w:val="21"/>
              </w:rPr>
              <w:t>内外部结构布局应设计合理，日常需维护保养的部件应易于接近和拆装，并提供结构图说明；</w:t>
            </w:r>
          </w:p>
        </w:tc>
      </w:tr>
      <w:tr w14:paraId="58A6E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49EFFF6D">
            <w:pPr>
              <w:rPr>
                <w:sz w:val="24"/>
              </w:rPr>
            </w:pPr>
          </w:p>
        </w:tc>
        <w:tc>
          <w:tcPr>
            <w:tcW w:w="460" w:type="dxa"/>
            <w:vAlign w:val="center"/>
          </w:tcPr>
          <w:p w14:paraId="1726C57A">
            <w:pPr>
              <w:jc w:val="right"/>
              <w:rPr>
                <w:color w:val="000000"/>
                <w:sz w:val="22"/>
              </w:rPr>
            </w:pPr>
            <w:r>
              <w:rPr>
                <w:rFonts w:hint="eastAsia"/>
                <w:color w:val="000000"/>
                <w:sz w:val="22"/>
              </w:rPr>
              <w:t>22</w:t>
            </w:r>
          </w:p>
        </w:tc>
        <w:tc>
          <w:tcPr>
            <w:tcW w:w="9376" w:type="dxa"/>
            <w:gridSpan w:val="3"/>
            <w:vAlign w:val="center"/>
          </w:tcPr>
          <w:p w14:paraId="45729ABC">
            <w:pPr>
              <w:rPr>
                <w:rFonts w:ascii="宋体" w:hAnsi="宋体"/>
                <w:szCs w:val="21"/>
                <w:highlight w:val="yellow"/>
              </w:rPr>
            </w:pPr>
            <w:r>
              <w:rPr>
                <w:rFonts w:hint="eastAsia" w:ascii="宋体" w:hAnsi="宋体"/>
                <w:szCs w:val="21"/>
              </w:rPr>
              <w:t>车顶喷黄色并配备频闪警示灯，车身四周粘贴反光标识，配备驻车轮档、8KG的ABC干粉灭火器；车身两侧标识“大新华飞机维修服务有限公司”名称和</w:t>
            </w:r>
            <w:r>
              <w:rPr>
                <w:rFonts w:ascii="宋体" w:hAnsi="宋体"/>
                <w:szCs w:val="21"/>
              </w:rPr>
              <w:t>LOGO；</w:t>
            </w:r>
            <w:r>
              <w:rPr>
                <w:rFonts w:hint="eastAsia" w:ascii="宋体" w:hAnsi="宋体"/>
                <w:szCs w:val="21"/>
              </w:rPr>
              <w:t xml:space="preserve"> </w:t>
            </w:r>
          </w:p>
        </w:tc>
      </w:tr>
      <w:tr w14:paraId="5ED95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0C973EEA">
            <w:pPr>
              <w:rPr>
                <w:sz w:val="24"/>
              </w:rPr>
            </w:pPr>
          </w:p>
        </w:tc>
        <w:tc>
          <w:tcPr>
            <w:tcW w:w="460" w:type="dxa"/>
            <w:vAlign w:val="center"/>
          </w:tcPr>
          <w:p w14:paraId="215544A4">
            <w:pPr>
              <w:jc w:val="right"/>
              <w:rPr>
                <w:rFonts w:ascii="宋体" w:hAnsi="宋体" w:cs="宋体"/>
                <w:color w:val="000000"/>
                <w:sz w:val="22"/>
              </w:rPr>
            </w:pPr>
            <w:r>
              <w:rPr>
                <w:rFonts w:hint="eastAsia"/>
                <w:color w:val="000000"/>
                <w:sz w:val="22"/>
              </w:rPr>
              <w:t>2</w:t>
            </w:r>
            <w:r>
              <w:rPr>
                <w:color w:val="000000"/>
                <w:sz w:val="22"/>
              </w:rPr>
              <w:t>3</w:t>
            </w:r>
          </w:p>
        </w:tc>
        <w:tc>
          <w:tcPr>
            <w:tcW w:w="9376" w:type="dxa"/>
            <w:gridSpan w:val="3"/>
            <w:vAlign w:val="center"/>
          </w:tcPr>
          <w:p w14:paraId="5F3712CE">
            <w:pPr>
              <w:rPr>
                <w:color w:val="000000"/>
              </w:rPr>
            </w:pPr>
            <w:r>
              <w:rPr>
                <w:rFonts w:hint="eastAsia"/>
                <w:color w:val="000000"/>
              </w:rPr>
              <w:t>验收</w:t>
            </w:r>
            <w:r>
              <w:rPr>
                <w:color w:val="000000"/>
              </w:rPr>
              <w:t>合格后</w:t>
            </w:r>
            <w:r>
              <w:rPr>
                <w:rFonts w:hint="eastAsia"/>
                <w:color w:val="000000"/>
              </w:rPr>
              <w:t>提供5天的</w:t>
            </w:r>
            <w:r>
              <w:rPr>
                <w:color w:val="000000"/>
              </w:rPr>
              <w:t>上门培训服务</w:t>
            </w:r>
            <w:r>
              <w:rPr>
                <w:rFonts w:hint="eastAsia"/>
                <w:color w:val="000000"/>
              </w:rPr>
              <w:t>；</w:t>
            </w:r>
          </w:p>
        </w:tc>
      </w:tr>
      <w:tr w14:paraId="3BC58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14:paraId="51FC2035">
            <w:pPr>
              <w:rPr>
                <w:sz w:val="24"/>
              </w:rPr>
            </w:pPr>
          </w:p>
        </w:tc>
        <w:tc>
          <w:tcPr>
            <w:tcW w:w="460" w:type="dxa"/>
            <w:vAlign w:val="center"/>
          </w:tcPr>
          <w:p w14:paraId="506C6326">
            <w:pPr>
              <w:jc w:val="right"/>
              <w:rPr>
                <w:rFonts w:ascii="宋体" w:hAnsi="宋体" w:cs="宋体"/>
                <w:color w:val="000000"/>
                <w:sz w:val="22"/>
              </w:rPr>
            </w:pPr>
            <w:r>
              <w:rPr>
                <w:rFonts w:hint="eastAsia"/>
                <w:color w:val="000000"/>
                <w:sz w:val="22"/>
              </w:rPr>
              <w:t>2</w:t>
            </w:r>
            <w:r>
              <w:rPr>
                <w:color w:val="000000"/>
                <w:sz w:val="22"/>
              </w:rPr>
              <w:t>4</w:t>
            </w:r>
          </w:p>
        </w:tc>
        <w:tc>
          <w:tcPr>
            <w:tcW w:w="9376" w:type="dxa"/>
            <w:gridSpan w:val="3"/>
            <w:vAlign w:val="center"/>
          </w:tcPr>
          <w:p w14:paraId="69249719">
            <w:pPr>
              <w:rPr>
                <w:rFonts w:ascii="宋体" w:hAnsi="宋体" w:cs="宋体"/>
                <w:color w:val="000000"/>
                <w:sz w:val="24"/>
                <w:szCs w:val="24"/>
              </w:rPr>
            </w:pPr>
            <w:r>
              <w:rPr>
                <w:rFonts w:hint="eastAsia"/>
                <w:color w:val="000000"/>
              </w:rPr>
              <w:t>2</w:t>
            </w:r>
            <w:r>
              <w:rPr>
                <w:color w:val="000000"/>
              </w:rPr>
              <w:t>4</w:t>
            </w:r>
            <w:r>
              <w:rPr>
                <w:rFonts w:hint="eastAsia"/>
                <w:color w:val="000000"/>
              </w:rPr>
              <w:t>小时</w:t>
            </w:r>
            <w:r>
              <w:rPr>
                <w:color w:val="000000"/>
              </w:rPr>
              <w:t>提供技术服务。</w:t>
            </w:r>
          </w:p>
        </w:tc>
      </w:tr>
      <w:tr w14:paraId="6DD8F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46" w:type="dxa"/>
          </w:tcPr>
          <w:p w14:paraId="29A01F3B">
            <w:pPr>
              <w:rPr>
                <w:sz w:val="24"/>
              </w:rPr>
            </w:pPr>
            <w:r>
              <w:rPr>
                <w:rFonts w:hint="eastAsia"/>
                <w:sz w:val="24"/>
              </w:rPr>
              <w:t>到货</w:t>
            </w:r>
          </w:p>
          <w:p w14:paraId="7EDAE86E">
            <w:pPr>
              <w:rPr>
                <w:sz w:val="24"/>
              </w:rPr>
            </w:pPr>
            <w:r>
              <w:rPr>
                <w:rFonts w:hint="eastAsia"/>
                <w:sz w:val="24"/>
              </w:rPr>
              <w:t>日期</w:t>
            </w:r>
          </w:p>
          <w:p w14:paraId="2F13C789">
            <w:pPr>
              <w:rPr>
                <w:sz w:val="24"/>
              </w:rPr>
            </w:pPr>
            <w:r>
              <w:rPr>
                <w:rFonts w:hint="eastAsia"/>
                <w:sz w:val="24"/>
              </w:rPr>
              <w:t>要求：</w:t>
            </w:r>
          </w:p>
        </w:tc>
        <w:tc>
          <w:tcPr>
            <w:tcW w:w="460" w:type="dxa"/>
          </w:tcPr>
          <w:p w14:paraId="24DAAB1D">
            <w:pPr>
              <w:rPr>
                <w:sz w:val="24"/>
              </w:rPr>
            </w:pPr>
          </w:p>
        </w:tc>
        <w:tc>
          <w:tcPr>
            <w:tcW w:w="9376" w:type="dxa"/>
            <w:gridSpan w:val="3"/>
          </w:tcPr>
          <w:p w14:paraId="73E330ED">
            <w:pPr>
              <w:rPr>
                <w:color w:val="FF0000"/>
                <w:sz w:val="24"/>
              </w:rPr>
            </w:pPr>
            <w:r>
              <w:rPr>
                <w:rFonts w:hint="eastAsia"/>
                <w:sz w:val="24"/>
              </w:rPr>
              <w:t>20</w:t>
            </w:r>
            <w:r>
              <w:rPr>
                <w:sz w:val="24"/>
              </w:rPr>
              <w:t>2</w:t>
            </w:r>
            <w:r>
              <w:rPr>
                <w:rFonts w:hint="eastAsia"/>
                <w:sz w:val="24"/>
              </w:rPr>
              <w:t>5/12/31</w:t>
            </w:r>
          </w:p>
        </w:tc>
      </w:tr>
      <w:tr w14:paraId="51D8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7EA36AB">
            <w:pPr>
              <w:rPr>
                <w:sz w:val="24"/>
                <w:szCs w:val="24"/>
              </w:rPr>
            </w:pPr>
            <w:r>
              <w:rPr>
                <w:rFonts w:hint="eastAsia"/>
                <w:sz w:val="24"/>
                <w:szCs w:val="24"/>
              </w:rPr>
              <w:t>质保</w:t>
            </w:r>
          </w:p>
          <w:p w14:paraId="2F400AA0">
            <w:pPr>
              <w:rPr>
                <w:sz w:val="24"/>
              </w:rPr>
            </w:pPr>
            <w:r>
              <w:rPr>
                <w:rFonts w:hint="eastAsia"/>
                <w:sz w:val="24"/>
                <w:szCs w:val="24"/>
              </w:rPr>
              <w:t>要求：</w:t>
            </w:r>
          </w:p>
        </w:tc>
        <w:tc>
          <w:tcPr>
            <w:tcW w:w="460" w:type="dxa"/>
          </w:tcPr>
          <w:p w14:paraId="46E4610F">
            <w:pPr>
              <w:rPr>
                <w:sz w:val="24"/>
              </w:rPr>
            </w:pPr>
          </w:p>
        </w:tc>
        <w:tc>
          <w:tcPr>
            <w:tcW w:w="9376" w:type="dxa"/>
            <w:gridSpan w:val="3"/>
          </w:tcPr>
          <w:p w14:paraId="426C5A7C">
            <w:pPr>
              <w:rPr>
                <w:sz w:val="24"/>
                <w:szCs w:val="24"/>
              </w:rPr>
            </w:pPr>
            <w:r>
              <w:rPr>
                <w:rFonts w:hint="eastAsia"/>
                <w:sz w:val="24"/>
                <w:szCs w:val="24"/>
              </w:rPr>
              <w:t>所有产品整机保修≥(2) 年。</w:t>
            </w:r>
          </w:p>
        </w:tc>
      </w:tr>
      <w:tr w14:paraId="677F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846" w:type="dxa"/>
          </w:tcPr>
          <w:p w14:paraId="6B3618DA">
            <w:pPr>
              <w:rPr>
                <w:sz w:val="24"/>
              </w:rPr>
            </w:pPr>
            <w:r>
              <w:rPr>
                <w:rFonts w:hint="eastAsia"/>
                <w:sz w:val="24"/>
              </w:rPr>
              <w:t>资料</w:t>
            </w:r>
          </w:p>
          <w:p w14:paraId="15644667">
            <w:pPr>
              <w:rPr>
                <w:sz w:val="24"/>
              </w:rPr>
            </w:pPr>
            <w:r>
              <w:rPr>
                <w:rFonts w:hint="eastAsia"/>
                <w:sz w:val="24"/>
              </w:rPr>
              <w:t>要求：</w:t>
            </w:r>
          </w:p>
        </w:tc>
        <w:tc>
          <w:tcPr>
            <w:tcW w:w="460" w:type="dxa"/>
          </w:tcPr>
          <w:p w14:paraId="42EDA3C7">
            <w:pPr>
              <w:rPr>
                <w:sz w:val="24"/>
                <w:szCs w:val="24"/>
              </w:rPr>
            </w:pPr>
          </w:p>
        </w:tc>
        <w:tc>
          <w:tcPr>
            <w:tcW w:w="9376" w:type="dxa"/>
            <w:gridSpan w:val="3"/>
          </w:tcPr>
          <w:p w14:paraId="31B0D246">
            <w:pPr>
              <w:rPr>
                <w:sz w:val="24"/>
                <w:szCs w:val="24"/>
              </w:rPr>
            </w:pPr>
            <w:r>
              <w:rPr>
                <w:rFonts w:hint="eastAsia"/>
                <w:sz w:val="24"/>
                <w:szCs w:val="24"/>
              </w:rPr>
              <w:t>合格证、使用说明，维保说明,</w:t>
            </w:r>
            <w:bookmarkStart w:id="8" w:name="OLE_LINK3"/>
            <w:r>
              <w:rPr>
                <w:rFonts w:hint="eastAsia" w:ascii="宋体" w:hAnsi="宋体"/>
                <w:szCs w:val="21"/>
              </w:rPr>
              <w:t xml:space="preserve"> 民用机场专用设备检测报告，</w:t>
            </w:r>
            <w:r>
              <w:rPr>
                <w:rFonts w:hint="eastAsia"/>
                <w:szCs w:val="21"/>
              </w:rPr>
              <w:t>航空器地面服务设备勤务接头安全联锁技术要求和检测规范的证明文件</w:t>
            </w:r>
            <w:bookmarkEnd w:id="8"/>
            <w:r>
              <w:rPr>
                <w:rFonts w:hint="eastAsia"/>
                <w:szCs w:val="21"/>
              </w:rPr>
              <w:t>。</w:t>
            </w:r>
          </w:p>
        </w:tc>
      </w:tr>
      <w:tr w14:paraId="0DC35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5E1EB2C">
            <w:pPr>
              <w:rPr>
                <w:sz w:val="24"/>
              </w:rPr>
            </w:pPr>
            <w:r>
              <w:rPr>
                <w:rFonts w:hint="eastAsia"/>
                <w:sz w:val="24"/>
              </w:rPr>
              <w:t>安装</w:t>
            </w:r>
          </w:p>
          <w:p w14:paraId="6707BDA4">
            <w:pPr>
              <w:rPr>
                <w:sz w:val="24"/>
              </w:rPr>
            </w:pPr>
            <w:r>
              <w:rPr>
                <w:rFonts w:hint="eastAsia"/>
                <w:sz w:val="24"/>
              </w:rPr>
              <w:t>运输</w:t>
            </w:r>
          </w:p>
          <w:p w14:paraId="2F03216F">
            <w:pPr>
              <w:rPr>
                <w:sz w:val="24"/>
              </w:rPr>
            </w:pPr>
            <w:r>
              <w:rPr>
                <w:rFonts w:hint="eastAsia"/>
                <w:sz w:val="24"/>
              </w:rPr>
              <w:t>要求：</w:t>
            </w:r>
          </w:p>
        </w:tc>
        <w:tc>
          <w:tcPr>
            <w:tcW w:w="460" w:type="dxa"/>
          </w:tcPr>
          <w:p w14:paraId="26266589">
            <w:pPr>
              <w:rPr>
                <w:sz w:val="24"/>
                <w:szCs w:val="24"/>
              </w:rPr>
            </w:pPr>
          </w:p>
        </w:tc>
        <w:tc>
          <w:tcPr>
            <w:tcW w:w="9376" w:type="dxa"/>
            <w:gridSpan w:val="3"/>
          </w:tcPr>
          <w:p w14:paraId="2A11F3D1">
            <w:pPr>
              <w:rPr>
                <w:sz w:val="24"/>
                <w:szCs w:val="24"/>
              </w:rPr>
            </w:pPr>
            <w:r>
              <w:rPr>
                <w:rFonts w:hint="eastAsia"/>
                <w:sz w:val="24"/>
                <w:szCs w:val="24"/>
              </w:rPr>
              <w:t>发运成品，厂家承担运费</w:t>
            </w:r>
          </w:p>
        </w:tc>
      </w:tr>
    </w:tbl>
    <w:p w14:paraId="191A544C">
      <w:pPr>
        <w:rPr>
          <w:sz w:val="10"/>
          <w:szCs w:val="10"/>
        </w:rPr>
      </w:pPr>
    </w:p>
    <w:p w14:paraId="2220B550">
      <w:pPr>
        <w:tabs>
          <w:tab w:val="left" w:pos="1725"/>
        </w:tabs>
        <w:rPr>
          <w:sz w:val="10"/>
          <w:szCs w:val="10"/>
        </w:rPr>
      </w:pPr>
      <w:r>
        <w:rPr>
          <w:sz w:val="10"/>
          <w:szCs w:val="10"/>
        </w:rPr>
        <w:tab/>
      </w:r>
    </w:p>
    <w:sectPr>
      <w:pgSz w:w="11906" w:h="16838"/>
      <w:pgMar w:top="720" w:right="720" w:bottom="720" w:left="7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ËÎÌå">
    <w:altName w:val="Times New Roman"/>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E665AD"/>
    <w:multiLevelType w:val="multilevel"/>
    <w:tmpl w:val="23E665AD"/>
    <w:lvl w:ilvl="0" w:tentative="0">
      <w:start w:val="1"/>
      <w:numFmt w:val="decimal"/>
      <w:pStyle w:val="2"/>
      <w:lvlText w:val="%1."/>
      <w:lvlJc w:val="left"/>
      <w:pPr>
        <w:ind w:left="1276" w:hanging="1276"/>
      </w:pPr>
      <w:rPr>
        <w:rFonts w:hint="eastAsia" w:ascii="黑体" w:eastAsia="黑体"/>
        <w:b w:val="0"/>
        <w:i w:val="0"/>
        <w:caps w:val="0"/>
        <w:snapToGrid w:val="0"/>
        <w:vanish w:val="0"/>
        <w:kern w:val="0"/>
        <w:sz w:val="32"/>
        <w:vertAlign w:val="baseline"/>
        <w14:shadow w14:blurRad="0" w14:dist="0" w14:dir="0" w14:sx="0" w14:sy="0" w14:kx="0" w14:ky="0" w14:algn="none">
          <w14:srgbClr w14:val="000000"/>
        </w14:shadow>
      </w:rPr>
    </w:lvl>
    <w:lvl w:ilvl="1" w:tentative="0">
      <w:start w:val="1"/>
      <w:numFmt w:val="decimal"/>
      <w:pStyle w:val="3"/>
      <w:lvlText w:val="%1.%2."/>
      <w:lvlJc w:val="left"/>
      <w:pPr>
        <w:ind w:left="1276" w:hanging="1276"/>
      </w:pPr>
      <w:rPr>
        <w:rFonts w:hint="eastAsia" w:ascii="仿宋_GB2312" w:eastAsia="仿宋_GB2312"/>
        <w:b w:val="0"/>
        <w:i w:val="0"/>
        <w:caps w:val="0"/>
        <w:snapToGrid w:val="0"/>
        <w:vanish w:val="0"/>
        <w:color w:val="000000"/>
        <w:kern w:val="0"/>
        <w:sz w:val="32"/>
        <w:vertAlign w:val="baseline"/>
        <w14:shadow w14:blurRad="0" w14:dist="0" w14:dir="0" w14:sx="0" w14:sy="0" w14:kx="0" w14:ky="0" w14:algn="none">
          <w14:srgbClr w14:val="000000"/>
        </w14:shadow>
      </w:rPr>
    </w:lvl>
    <w:lvl w:ilvl="2" w:tentative="0">
      <w:start w:val="1"/>
      <w:numFmt w:val="decimal"/>
      <w:pStyle w:val="4"/>
      <w:lvlText w:val="%1.%2.%3."/>
      <w:lvlJc w:val="left"/>
      <w:pPr>
        <w:ind w:left="1276" w:hanging="1276"/>
      </w:pPr>
      <w:rPr>
        <w:rFonts w:hint="eastAsia" w:ascii="仿宋_GB2312" w:eastAsia="仿宋_GB2312"/>
        <w:b w:val="0"/>
        <w:i w:val="0"/>
        <w:caps w:val="0"/>
        <w:snapToGrid w:val="0"/>
        <w:vanish w:val="0"/>
        <w:color w:val="000000"/>
        <w:spacing w:val="-20"/>
        <w:kern w:val="0"/>
        <w:sz w:val="32"/>
        <w:vertAlign w:val="baseline"/>
        <w14:shadow w14:blurRad="0" w14:dist="0" w14:dir="0" w14:sx="0" w14:sy="0" w14:kx="0" w14:ky="0" w14:algn="none">
          <w14:srgbClr w14:val="000000"/>
        </w14:shadow>
      </w:rPr>
    </w:lvl>
    <w:lvl w:ilvl="3" w:tentative="0">
      <w:start w:val="1"/>
      <w:numFmt w:val="decimal"/>
      <w:pStyle w:val="5"/>
      <w:lvlText w:val="%1.%2.%3.%4."/>
      <w:lvlJc w:val="left"/>
      <w:pPr>
        <w:ind w:left="1276" w:hanging="1276"/>
      </w:pPr>
      <w:rPr>
        <w:rFonts w:hint="eastAsia" w:ascii="仿宋_GB2312" w:eastAsia="仿宋_GB2312"/>
        <w:b w:val="0"/>
        <w:i w:val="0"/>
        <w:caps w:val="0"/>
        <w:snapToGrid w:val="0"/>
        <w:vanish w:val="0"/>
        <w:color w:val="000000"/>
        <w:spacing w:val="-20"/>
        <w:kern w:val="0"/>
        <w:sz w:val="32"/>
        <w:vertAlign w:val="baseline"/>
        <w14:shadow w14:blurRad="0" w14:dist="0" w14:dir="0" w14:sx="0" w14:sy="0" w14:kx="0" w14:ky="0" w14:algn="none">
          <w14:srgbClr w14:val="000000"/>
        </w14:shadow>
      </w:rPr>
    </w:lvl>
    <w:lvl w:ilvl="4" w:tentative="0">
      <w:start w:val="1"/>
      <w:numFmt w:val="decimal"/>
      <w:pStyle w:val="6"/>
      <w:lvlText w:val="%5)"/>
      <w:lvlJc w:val="left"/>
      <w:pPr>
        <w:ind w:left="1276" w:hanging="1276"/>
      </w:pPr>
      <w:rPr>
        <w:rFonts w:hint="eastAsia" w:ascii="仿宋_GB2312" w:eastAsia="仿宋_GB2312"/>
        <w:b w:val="0"/>
        <w:i w:val="0"/>
        <w:caps w:val="0"/>
        <w:snapToGrid w:val="0"/>
        <w:vanish w:val="0"/>
        <w:color w:val="000000"/>
        <w:kern w:val="0"/>
        <w:sz w:val="32"/>
        <w:vertAlign w:val="baseline"/>
        <w14:shadow w14:blurRad="0" w14:dist="0" w14:dir="0" w14:sx="0" w14:sy="0" w14:kx="0" w14:ky="0" w14:algn="none">
          <w14:srgbClr w14:val="000000"/>
        </w14:shadow>
      </w:rPr>
    </w:lvl>
    <w:lvl w:ilvl="5" w:tentative="0">
      <w:start w:val="1"/>
      <w:numFmt w:val="decimal"/>
      <w:pStyle w:val="7"/>
      <w:lvlText w:val="(%6)"/>
      <w:lvlJc w:val="left"/>
      <w:pPr>
        <w:ind w:left="1276" w:hanging="851"/>
      </w:pPr>
      <w:rPr>
        <w:rFonts w:hint="eastAsia" w:ascii="仿宋_GB2312" w:eastAsia="仿宋_GB2312"/>
        <w:b w:val="0"/>
        <w:i w:val="0"/>
        <w:caps w:val="0"/>
        <w:snapToGrid w:val="0"/>
        <w:vanish w:val="0"/>
        <w:color w:val="000000"/>
        <w:kern w:val="0"/>
        <w:sz w:val="32"/>
        <w:vertAlign w:val="baseline"/>
        <w14:shadow w14:blurRad="0" w14:dist="0" w14:dir="0" w14:sx="0" w14:sy="0" w14:kx="0" w14:ky="0" w14:algn="none">
          <w14:srgbClr w14:val="000000"/>
        </w14:shadow>
      </w:rPr>
    </w:lvl>
    <w:lvl w:ilvl="6" w:tentative="0">
      <w:start w:val="1"/>
      <w:numFmt w:val="upperLetter"/>
      <w:pStyle w:val="8"/>
      <w:lvlText w:val="%7."/>
      <w:lvlJc w:val="left"/>
      <w:pPr>
        <w:ind w:left="1276" w:hanging="681"/>
      </w:pPr>
      <w:rPr>
        <w:rFonts w:hint="eastAsia" w:ascii="仿宋_GB2312" w:eastAsia="仿宋_GB2312"/>
        <w:b w:val="0"/>
        <w:i w:val="0"/>
        <w:caps w:val="0"/>
        <w:snapToGrid w:val="0"/>
        <w:vanish w:val="0"/>
        <w:color w:val="000000"/>
        <w:kern w:val="0"/>
        <w:sz w:val="32"/>
        <w:vertAlign w:val="baseline"/>
        <w14:shadow w14:blurRad="0" w14:dist="0" w14:dir="0" w14:sx="0" w14:sy="0" w14:kx="0" w14:ky="0" w14:algn="none">
          <w14:srgbClr w14:val="000000"/>
        </w14:shadow>
      </w:rPr>
    </w:lvl>
    <w:lvl w:ilvl="7" w:tentative="0">
      <w:start w:val="1"/>
      <w:numFmt w:val="lowerLetter"/>
      <w:pStyle w:val="9"/>
      <w:lvlText w:val="%8."/>
      <w:lvlJc w:val="left"/>
      <w:pPr>
        <w:ind w:left="1276" w:hanging="652"/>
      </w:pPr>
      <w:rPr>
        <w:rFonts w:hint="eastAsia" w:ascii="仿宋_GB2312" w:eastAsia="仿宋_GB2312"/>
        <w:b w:val="0"/>
        <w:i w:val="0"/>
        <w:caps w:val="0"/>
        <w:snapToGrid w:val="0"/>
        <w:vanish w:val="0"/>
        <w:color w:val="000000"/>
        <w:kern w:val="0"/>
        <w:sz w:val="32"/>
        <w:vertAlign w:val="baseline"/>
        <w14:shadow w14:blurRad="0" w14:dist="0" w14:dir="0" w14:sx="0" w14:sy="0" w14:kx="0" w14:ky="0" w14:algn="none">
          <w14:srgbClr w14:val="000000"/>
        </w14:shadow>
      </w:rPr>
    </w:lvl>
    <w:lvl w:ilvl="8" w:tentative="0">
      <w:start w:val="1"/>
      <w:numFmt w:val="lowerRoman"/>
      <w:pStyle w:val="10"/>
      <w:lvlText w:val="%9."/>
      <w:lvlJc w:val="left"/>
      <w:pPr>
        <w:ind w:left="1276" w:hanging="652"/>
      </w:pPr>
      <w:rPr>
        <w:rFonts w:hint="eastAsia" w:ascii="仿宋_GB2312" w:eastAsia="仿宋_GB2312"/>
        <w:b w:val="0"/>
        <w:i w:val="0"/>
        <w:caps w:val="0"/>
        <w:snapToGrid w:val="0"/>
        <w:vanish w:val="0"/>
        <w:color w:val="000000"/>
        <w:spacing w:val="-20"/>
        <w:kern w:val="0"/>
        <w:sz w:val="32"/>
        <w:vertAlign w:val="baseline"/>
        <w14:shadow w14:blurRad="0" w14:dist="0" w14:dir="0" w14:sx="0" w14:sy="0" w14:kx="0" w14:ky="0" w14:algn="none">
          <w14:srgbClr w14:val="000000"/>
        </w14:shadow>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701"/>
    <w:rsid w:val="00003FA9"/>
    <w:rsid w:val="00004F82"/>
    <w:rsid w:val="0000588F"/>
    <w:rsid w:val="00023F1A"/>
    <w:rsid w:val="000303E1"/>
    <w:rsid w:val="000304C9"/>
    <w:rsid w:val="00050288"/>
    <w:rsid w:val="00055242"/>
    <w:rsid w:val="0007180E"/>
    <w:rsid w:val="000754AA"/>
    <w:rsid w:val="00081B74"/>
    <w:rsid w:val="000A41AA"/>
    <w:rsid w:val="000B2AA0"/>
    <w:rsid w:val="000C4660"/>
    <w:rsid w:val="000C47DE"/>
    <w:rsid w:val="000D69EB"/>
    <w:rsid w:val="00103316"/>
    <w:rsid w:val="00133DBF"/>
    <w:rsid w:val="00160754"/>
    <w:rsid w:val="00190AE2"/>
    <w:rsid w:val="001B4FEC"/>
    <w:rsid w:val="001F1263"/>
    <w:rsid w:val="0022389A"/>
    <w:rsid w:val="002324D0"/>
    <w:rsid w:val="00244711"/>
    <w:rsid w:val="00244BAF"/>
    <w:rsid w:val="00280CB0"/>
    <w:rsid w:val="002871CD"/>
    <w:rsid w:val="00290A5D"/>
    <w:rsid w:val="00297A59"/>
    <w:rsid w:val="002A34DE"/>
    <w:rsid w:val="002B6338"/>
    <w:rsid w:val="00315476"/>
    <w:rsid w:val="00315DF5"/>
    <w:rsid w:val="00317004"/>
    <w:rsid w:val="00332EE8"/>
    <w:rsid w:val="00335CB9"/>
    <w:rsid w:val="003534AC"/>
    <w:rsid w:val="00364FAA"/>
    <w:rsid w:val="003A02EF"/>
    <w:rsid w:val="003B4216"/>
    <w:rsid w:val="003C32C4"/>
    <w:rsid w:val="003F1107"/>
    <w:rsid w:val="00424607"/>
    <w:rsid w:val="00437E55"/>
    <w:rsid w:val="00492ACF"/>
    <w:rsid w:val="004A1F3A"/>
    <w:rsid w:val="004A3B7C"/>
    <w:rsid w:val="004A4422"/>
    <w:rsid w:val="004C3E16"/>
    <w:rsid w:val="00501F91"/>
    <w:rsid w:val="005211A1"/>
    <w:rsid w:val="00525287"/>
    <w:rsid w:val="00525396"/>
    <w:rsid w:val="00525514"/>
    <w:rsid w:val="005449D4"/>
    <w:rsid w:val="00550133"/>
    <w:rsid w:val="00553B15"/>
    <w:rsid w:val="005605D4"/>
    <w:rsid w:val="00560C17"/>
    <w:rsid w:val="005B7FC6"/>
    <w:rsid w:val="005C12CB"/>
    <w:rsid w:val="006272F1"/>
    <w:rsid w:val="00627606"/>
    <w:rsid w:val="0063181F"/>
    <w:rsid w:val="006653DF"/>
    <w:rsid w:val="00666972"/>
    <w:rsid w:val="006727E7"/>
    <w:rsid w:val="006A7022"/>
    <w:rsid w:val="006B1573"/>
    <w:rsid w:val="006B2B9F"/>
    <w:rsid w:val="00703925"/>
    <w:rsid w:val="007048C4"/>
    <w:rsid w:val="0070615E"/>
    <w:rsid w:val="00712079"/>
    <w:rsid w:val="007155DB"/>
    <w:rsid w:val="00717CFE"/>
    <w:rsid w:val="007212F3"/>
    <w:rsid w:val="00735AA1"/>
    <w:rsid w:val="00737833"/>
    <w:rsid w:val="007513E3"/>
    <w:rsid w:val="00775614"/>
    <w:rsid w:val="00785251"/>
    <w:rsid w:val="007875D1"/>
    <w:rsid w:val="00796789"/>
    <w:rsid w:val="007B06F4"/>
    <w:rsid w:val="007B0904"/>
    <w:rsid w:val="007B3421"/>
    <w:rsid w:val="007B598D"/>
    <w:rsid w:val="007D089A"/>
    <w:rsid w:val="007E0F8B"/>
    <w:rsid w:val="007F0E6E"/>
    <w:rsid w:val="00805274"/>
    <w:rsid w:val="0081017F"/>
    <w:rsid w:val="00815B8F"/>
    <w:rsid w:val="00823315"/>
    <w:rsid w:val="00840BE7"/>
    <w:rsid w:val="00852D35"/>
    <w:rsid w:val="008643AF"/>
    <w:rsid w:val="008732D9"/>
    <w:rsid w:val="00875F57"/>
    <w:rsid w:val="008A32AE"/>
    <w:rsid w:val="008A7EC9"/>
    <w:rsid w:val="008D1EC2"/>
    <w:rsid w:val="008F0B9F"/>
    <w:rsid w:val="008F2896"/>
    <w:rsid w:val="00903365"/>
    <w:rsid w:val="009046AC"/>
    <w:rsid w:val="009047AF"/>
    <w:rsid w:val="0093605A"/>
    <w:rsid w:val="00936A9F"/>
    <w:rsid w:val="00942529"/>
    <w:rsid w:val="00955039"/>
    <w:rsid w:val="00975A05"/>
    <w:rsid w:val="0099350E"/>
    <w:rsid w:val="009F004F"/>
    <w:rsid w:val="009F1483"/>
    <w:rsid w:val="009F6B43"/>
    <w:rsid w:val="00A13B84"/>
    <w:rsid w:val="00A150DE"/>
    <w:rsid w:val="00A17EA9"/>
    <w:rsid w:val="00A24653"/>
    <w:rsid w:val="00A2538C"/>
    <w:rsid w:val="00A357BE"/>
    <w:rsid w:val="00A579FE"/>
    <w:rsid w:val="00A77057"/>
    <w:rsid w:val="00A80F73"/>
    <w:rsid w:val="00A9395C"/>
    <w:rsid w:val="00AB0435"/>
    <w:rsid w:val="00AB235E"/>
    <w:rsid w:val="00AE530A"/>
    <w:rsid w:val="00B03667"/>
    <w:rsid w:val="00B06E65"/>
    <w:rsid w:val="00B26132"/>
    <w:rsid w:val="00B77274"/>
    <w:rsid w:val="00B84753"/>
    <w:rsid w:val="00B9651A"/>
    <w:rsid w:val="00BC251C"/>
    <w:rsid w:val="00BC4A07"/>
    <w:rsid w:val="00BC6417"/>
    <w:rsid w:val="00BC6784"/>
    <w:rsid w:val="00BE4333"/>
    <w:rsid w:val="00BE6537"/>
    <w:rsid w:val="00C11D68"/>
    <w:rsid w:val="00C17398"/>
    <w:rsid w:val="00C21518"/>
    <w:rsid w:val="00C25789"/>
    <w:rsid w:val="00C303CC"/>
    <w:rsid w:val="00C53DB0"/>
    <w:rsid w:val="00C54D72"/>
    <w:rsid w:val="00C75531"/>
    <w:rsid w:val="00CC6701"/>
    <w:rsid w:val="00CE3715"/>
    <w:rsid w:val="00CE45FB"/>
    <w:rsid w:val="00CE6364"/>
    <w:rsid w:val="00D05C5A"/>
    <w:rsid w:val="00D05E7A"/>
    <w:rsid w:val="00D16306"/>
    <w:rsid w:val="00D276F7"/>
    <w:rsid w:val="00D30FA7"/>
    <w:rsid w:val="00D361CD"/>
    <w:rsid w:val="00D52A85"/>
    <w:rsid w:val="00D6223E"/>
    <w:rsid w:val="00D62912"/>
    <w:rsid w:val="00D71F29"/>
    <w:rsid w:val="00D94B59"/>
    <w:rsid w:val="00D95BD9"/>
    <w:rsid w:val="00DB58C3"/>
    <w:rsid w:val="00DC6C4D"/>
    <w:rsid w:val="00DE3BFD"/>
    <w:rsid w:val="00DF6FA1"/>
    <w:rsid w:val="00E26766"/>
    <w:rsid w:val="00E31E2D"/>
    <w:rsid w:val="00E34E38"/>
    <w:rsid w:val="00E40CFC"/>
    <w:rsid w:val="00E438EC"/>
    <w:rsid w:val="00E635E1"/>
    <w:rsid w:val="00E64C50"/>
    <w:rsid w:val="00E72300"/>
    <w:rsid w:val="00E76496"/>
    <w:rsid w:val="00EC1C39"/>
    <w:rsid w:val="00EC5451"/>
    <w:rsid w:val="00ED2C57"/>
    <w:rsid w:val="00EE2D7B"/>
    <w:rsid w:val="00EF4020"/>
    <w:rsid w:val="00F00D4F"/>
    <w:rsid w:val="00F5426D"/>
    <w:rsid w:val="00FF388D"/>
    <w:rsid w:val="00FF622C"/>
    <w:rsid w:val="00FF75C9"/>
    <w:rsid w:val="0BA13429"/>
    <w:rsid w:val="21D61DC2"/>
    <w:rsid w:val="2DDB6996"/>
    <w:rsid w:val="2FA21EAE"/>
    <w:rsid w:val="37481F35"/>
    <w:rsid w:val="480D1586"/>
    <w:rsid w:val="4A0F71D0"/>
    <w:rsid w:val="50206881"/>
    <w:rsid w:val="51DC5171"/>
    <w:rsid w:val="6BC770C6"/>
    <w:rsid w:val="70076BE8"/>
    <w:rsid w:val="73165394"/>
    <w:rsid w:val="7DAA505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qFormat="1"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qFormat="1"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qFormat="1"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qFormat="1"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qFormat="1"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qFormat="1"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qFormat="1"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link w:val="25"/>
    <w:qFormat/>
    <w:uiPriority w:val="0"/>
    <w:pPr>
      <w:widowControl/>
      <w:numPr>
        <w:ilvl w:val="0"/>
        <w:numId w:val="1"/>
      </w:numPr>
      <w:tabs>
        <w:tab w:val="left" w:pos="1276"/>
      </w:tabs>
      <w:adjustRightInd w:val="0"/>
      <w:snapToGrid w:val="0"/>
      <w:spacing w:line="600" w:lineRule="exact"/>
      <w:outlineLvl w:val="0"/>
    </w:pPr>
    <w:rPr>
      <w:rFonts w:ascii="黑体" w:eastAsia="黑体"/>
      <w:snapToGrid w:val="0"/>
      <w:kern w:val="0"/>
      <w:sz w:val="28"/>
      <w:szCs w:val="32"/>
    </w:rPr>
  </w:style>
  <w:style w:type="paragraph" w:styleId="3">
    <w:name w:val="heading 2"/>
    <w:basedOn w:val="1"/>
    <w:next w:val="1"/>
    <w:link w:val="26"/>
    <w:qFormat/>
    <w:uiPriority w:val="0"/>
    <w:pPr>
      <w:numPr>
        <w:ilvl w:val="1"/>
        <w:numId w:val="1"/>
      </w:numPr>
      <w:tabs>
        <w:tab w:val="left" w:pos="1274"/>
      </w:tabs>
      <w:adjustRightInd w:val="0"/>
      <w:snapToGrid w:val="0"/>
      <w:spacing w:line="600" w:lineRule="exact"/>
      <w:outlineLvl w:val="1"/>
    </w:pPr>
    <w:rPr>
      <w:rFonts w:ascii="仿宋_GB2312" w:hAnsi="Cambria" w:eastAsia="仿宋_GB2312"/>
      <w:bCs/>
      <w:snapToGrid w:val="0"/>
      <w:kern w:val="0"/>
      <w:sz w:val="28"/>
      <w:szCs w:val="32"/>
    </w:rPr>
  </w:style>
  <w:style w:type="paragraph" w:styleId="4">
    <w:name w:val="heading 3"/>
    <w:basedOn w:val="1"/>
    <w:next w:val="1"/>
    <w:link w:val="27"/>
    <w:qFormat/>
    <w:uiPriority w:val="0"/>
    <w:pPr>
      <w:numPr>
        <w:ilvl w:val="2"/>
        <w:numId w:val="1"/>
      </w:numPr>
      <w:tabs>
        <w:tab w:val="left" w:pos="1274"/>
      </w:tabs>
      <w:adjustRightInd w:val="0"/>
      <w:snapToGrid w:val="0"/>
      <w:spacing w:line="600" w:lineRule="exact"/>
      <w:outlineLvl w:val="2"/>
    </w:pPr>
    <w:rPr>
      <w:rFonts w:ascii="仿宋_GB2312" w:eastAsia="仿宋_GB2312"/>
      <w:bCs/>
      <w:snapToGrid w:val="0"/>
      <w:kern w:val="0"/>
      <w:sz w:val="28"/>
      <w:szCs w:val="32"/>
    </w:rPr>
  </w:style>
  <w:style w:type="paragraph" w:styleId="5">
    <w:name w:val="heading 4"/>
    <w:basedOn w:val="1"/>
    <w:next w:val="1"/>
    <w:link w:val="28"/>
    <w:qFormat/>
    <w:uiPriority w:val="0"/>
    <w:pPr>
      <w:numPr>
        <w:ilvl w:val="3"/>
        <w:numId w:val="1"/>
      </w:numPr>
      <w:adjustRightInd w:val="0"/>
      <w:snapToGrid w:val="0"/>
      <w:spacing w:line="600" w:lineRule="exact"/>
      <w:outlineLvl w:val="3"/>
    </w:pPr>
    <w:rPr>
      <w:rFonts w:ascii="仿宋_GB2312" w:hAnsi="Cambria" w:eastAsia="仿宋_GB2312"/>
      <w:bCs/>
      <w:snapToGrid w:val="0"/>
      <w:kern w:val="0"/>
      <w:sz w:val="28"/>
      <w:szCs w:val="28"/>
    </w:rPr>
  </w:style>
  <w:style w:type="paragraph" w:styleId="6">
    <w:name w:val="heading 5"/>
    <w:basedOn w:val="1"/>
    <w:next w:val="1"/>
    <w:link w:val="29"/>
    <w:qFormat/>
    <w:uiPriority w:val="0"/>
    <w:pPr>
      <w:numPr>
        <w:ilvl w:val="4"/>
        <w:numId w:val="1"/>
      </w:numPr>
      <w:adjustRightInd w:val="0"/>
      <w:snapToGrid w:val="0"/>
      <w:spacing w:line="600" w:lineRule="exact"/>
      <w:outlineLvl w:val="4"/>
    </w:pPr>
    <w:rPr>
      <w:rFonts w:ascii="仿宋_GB2312" w:eastAsia="仿宋_GB2312"/>
      <w:bCs/>
      <w:snapToGrid w:val="0"/>
      <w:kern w:val="0"/>
      <w:sz w:val="28"/>
      <w:szCs w:val="28"/>
    </w:rPr>
  </w:style>
  <w:style w:type="paragraph" w:styleId="7">
    <w:name w:val="heading 6"/>
    <w:basedOn w:val="1"/>
    <w:next w:val="1"/>
    <w:link w:val="30"/>
    <w:qFormat/>
    <w:uiPriority w:val="0"/>
    <w:pPr>
      <w:numPr>
        <w:ilvl w:val="5"/>
        <w:numId w:val="1"/>
      </w:numPr>
      <w:adjustRightInd w:val="0"/>
      <w:snapToGrid w:val="0"/>
      <w:spacing w:line="600" w:lineRule="exact"/>
      <w:outlineLvl w:val="5"/>
    </w:pPr>
    <w:rPr>
      <w:rFonts w:ascii="仿宋_GB2312" w:hAnsi="Cambria" w:eastAsia="仿宋_GB2312"/>
      <w:bCs/>
      <w:snapToGrid w:val="0"/>
      <w:kern w:val="0"/>
      <w:sz w:val="28"/>
      <w:szCs w:val="24"/>
    </w:rPr>
  </w:style>
  <w:style w:type="paragraph" w:styleId="8">
    <w:name w:val="heading 7"/>
    <w:basedOn w:val="1"/>
    <w:next w:val="1"/>
    <w:link w:val="31"/>
    <w:qFormat/>
    <w:uiPriority w:val="0"/>
    <w:pPr>
      <w:numPr>
        <w:ilvl w:val="6"/>
        <w:numId w:val="1"/>
      </w:numPr>
      <w:adjustRightInd w:val="0"/>
      <w:snapToGrid w:val="0"/>
      <w:spacing w:line="600" w:lineRule="exact"/>
      <w:outlineLvl w:val="6"/>
    </w:pPr>
    <w:rPr>
      <w:rFonts w:ascii="仿宋_GB2312" w:eastAsia="仿宋_GB2312"/>
      <w:bCs/>
      <w:snapToGrid w:val="0"/>
      <w:kern w:val="0"/>
      <w:sz w:val="28"/>
      <w:szCs w:val="24"/>
    </w:rPr>
  </w:style>
  <w:style w:type="paragraph" w:styleId="9">
    <w:name w:val="heading 8"/>
    <w:basedOn w:val="1"/>
    <w:next w:val="1"/>
    <w:link w:val="32"/>
    <w:qFormat/>
    <w:uiPriority w:val="0"/>
    <w:pPr>
      <w:numPr>
        <w:ilvl w:val="7"/>
        <w:numId w:val="1"/>
      </w:numPr>
      <w:adjustRightInd w:val="0"/>
      <w:snapToGrid w:val="0"/>
      <w:spacing w:line="600" w:lineRule="exact"/>
      <w:outlineLvl w:val="7"/>
    </w:pPr>
    <w:rPr>
      <w:rFonts w:ascii="仿宋_GB2312" w:hAnsi="Cambria" w:eastAsia="仿宋_GB2312"/>
      <w:snapToGrid w:val="0"/>
      <w:kern w:val="0"/>
      <w:sz w:val="28"/>
      <w:szCs w:val="24"/>
    </w:rPr>
  </w:style>
  <w:style w:type="paragraph" w:styleId="10">
    <w:name w:val="heading 9"/>
    <w:basedOn w:val="1"/>
    <w:next w:val="1"/>
    <w:link w:val="33"/>
    <w:qFormat/>
    <w:uiPriority w:val="0"/>
    <w:pPr>
      <w:numPr>
        <w:ilvl w:val="8"/>
        <w:numId w:val="1"/>
      </w:numPr>
      <w:adjustRightInd w:val="0"/>
      <w:snapToGrid w:val="0"/>
      <w:spacing w:line="600" w:lineRule="exact"/>
      <w:outlineLvl w:val="8"/>
    </w:pPr>
    <w:rPr>
      <w:rFonts w:ascii="仿宋_GB2312" w:hAnsi="Cambria" w:eastAsia="仿宋_GB2312"/>
      <w:snapToGrid w:val="0"/>
      <w:kern w:val="0"/>
      <w:sz w:val="28"/>
      <w:szCs w:val="21"/>
    </w:rPr>
  </w:style>
  <w:style w:type="character" w:default="1" w:styleId="24">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1">
    <w:name w:val="annotation text"/>
    <w:basedOn w:val="1"/>
    <w:semiHidden/>
    <w:unhideWhenUsed/>
    <w:uiPriority w:val="99"/>
    <w:pPr>
      <w:jc w:val="left"/>
    </w:pPr>
  </w:style>
  <w:style w:type="paragraph" w:styleId="12">
    <w:name w:val="footer"/>
    <w:basedOn w:val="1"/>
    <w:link w:val="34"/>
    <w:qFormat/>
    <w:uiPriority w:val="99"/>
    <w:pPr>
      <w:tabs>
        <w:tab w:val="center" w:pos="4153"/>
        <w:tab w:val="right" w:pos="8306"/>
      </w:tabs>
      <w:snapToGrid w:val="0"/>
      <w:jc w:val="left"/>
    </w:pPr>
    <w:rPr>
      <w:sz w:val="18"/>
      <w:szCs w:val="18"/>
    </w:rPr>
  </w:style>
  <w:style w:type="paragraph" w:styleId="13">
    <w:name w:val="header"/>
    <w:basedOn w:val="1"/>
    <w:link w:val="35"/>
    <w:qFormat/>
    <w:uiPriority w:val="99"/>
    <w:pPr>
      <w:pBdr>
        <w:bottom w:val="single" w:color="auto" w:sz="6" w:space="1"/>
      </w:pBdr>
      <w:tabs>
        <w:tab w:val="center" w:pos="4153"/>
        <w:tab w:val="right" w:pos="8306"/>
      </w:tabs>
      <w:snapToGrid w:val="0"/>
      <w:jc w:val="center"/>
    </w:pPr>
    <w:rPr>
      <w:sz w:val="18"/>
      <w:szCs w:val="18"/>
    </w:rPr>
  </w:style>
  <w:style w:type="paragraph" w:styleId="14">
    <w:name w:val="Body Text 2"/>
    <w:basedOn w:val="1"/>
    <w:qFormat/>
    <w:uiPriority w:val="0"/>
    <w:pPr>
      <w:adjustRightInd w:val="0"/>
      <w:spacing w:line="360" w:lineRule="auto"/>
      <w:textAlignment w:val="baseline"/>
    </w:pPr>
    <w:rPr>
      <w:rFonts w:ascii="仿宋_GB2312" w:hAnsi="宋体" w:eastAsia="仿宋_GB2312"/>
      <w:color w:val="000000"/>
      <w:kern w:val="0"/>
      <w:szCs w:val="20"/>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17">
    <w:name w:val="Medium Grid 3"/>
    <w:basedOn w:val="15"/>
    <w:qFormat/>
    <w:uiPriority w:val="69"/>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000000"/>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000000"/>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000000"/>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000000"/>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808080"/>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808080"/>
      </w:tcPr>
    </w:tblStylePr>
  </w:style>
  <w:style w:type="table" w:styleId="18">
    <w:name w:val="Medium Grid 3 Accent 1"/>
    <w:basedOn w:val="15"/>
    <w:qFormat/>
    <w:uiPriority w:val="69"/>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4F81BD"/>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4F81BD"/>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4F81BD"/>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4F81BD"/>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A7BFDE"/>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A7BFDE"/>
      </w:tcPr>
    </w:tblStylePr>
  </w:style>
  <w:style w:type="table" w:styleId="19">
    <w:name w:val="Medium Grid 3 Accent 2"/>
    <w:basedOn w:val="15"/>
    <w:qFormat/>
    <w:uiPriority w:val="69"/>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C0504D"/>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C0504D"/>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C0504D"/>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C0504D"/>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DFA7A6"/>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DFA7A6"/>
      </w:tcPr>
    </w:tblStylePr>
  </w:style>
  <w:style w:type="table" w:styleId="20">
    <w:name w:val="Medium Grid 3 Accent 3"/>
    <w:basedOn w:val="15"/>
    <w:qFormat/>
    <w:uiPriority w:val="69"/>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9BBB59"/>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9BBB59"/>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9BBB59"/>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9BBB59"/>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CDDDAC"/>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CDDDAC"/>
      </w:tcPr>
    </w:tblStylePr>
  </w:style>
  <w:style w:type="table" w:styleId="21">
    <w:name w:val="Medium Grid 3 Accent 4"/>
    <w:basedOn w:val="15"/>
    <w:qFormat/>
    <w:uiPriority w:val="69"/>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8064A2"/>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8064A2"/>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8064A2"/>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8064A2"/>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BFB1D0"/>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BFB1D0"/>
      </w:tcPr>
    </w:tblStylePr>
  </w:style>
  <w:style w:type="table" w:styleId="22">
    <w:name w:val="Medium Grid 3 Accent 5"/>
    <w:basedOn w:val="15"/>
    <w:qFormat/>
    <w:uiPriority w:val="69"/>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4BACC6"/>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4BACC6"/>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4BACC6"/>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4BACC6"/>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A5D5E2"/>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A5D5E2"/>
      </w:tcPr>
    </w:tblStylePr>
  </w:style>
  <w:style w:type="table" w:styleId="23">
    <w:name w:val="Medium Grid 3 Accent 6"/>
    <w:basedOn w:val="15"/>
    <w:qFormat/>
    <w:uiPriority w:val="69"/>
    <w:tblPr>
      <w:tblBorders>
        <w:top w:val="single" w:color="CCE8CF" w:sz="8" w:space="0"/>
        <w:left w:val="single" w:color="CCE8CF" w:sz="8" w:space="0"/>
        <w:bottom w:val="single" w:color="CCE8CF" w:sz="8" w:space="0"/>
        <w:right w:val="single" w:color="CCE8CF" w:sz="8" w:space="0"/>
        <w:insideH w:val="single" w:color="CCE8CF" w:sz="6" w:space="0"/>
        <w:insideV w:val="single" w:color="CCE8CF" w:sz="6" w:space="0"/>
      </w:tblBorders>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color="CCE8CF" w:sz="8" w:space="0"/>
          <w:left w:val="single" w:color="CCE8CF" w:sz="8" w:space="0"/>
          <w:bottom w:val="single" w:color="CCE8CF" w:sz="24" w:space="0"/>
          <w:right w:val="single" w:color="CCE8CF" w:sz="8" w:space="0"/>
          <w:insideH w:val="nil"/>
          <w:insideV w:val="single" w:sz="8" w:space="0"/>
        </w:tcBorders>
        <w:shd w:val="clear" w:color="auto" w:fill="F79646"/>
      </w:tcPr>
    </w:tblStylePr>
    <w:tblStylePr w:type="lastRow">
      <w:rPr>
        <w:b/>
        <w:bCs/>
        <w:i w:val="0"/>
        <w:iCs w:val="0"/>
        <w:color w:val="CCE8CF"/>
      </w:rPr>
      <w:tblPr/>
      <w:tcPr>
        <w:tcBorders>
          <w:top w:val="single" w:color="CCE8CF" w:sz="24" w:space="0"/>
          <w:left w:val="single" w:color="CCE8CF" w:sz="8" w:space="0"/>
          <w:bottom w:val="single" w:color="CCE8CF" w:sz="8" w:space="0"/>
          <w:right w:val="single" w:color="CCE8CF" w:sz="8" w:space="0"/>
          <w:insideH w:val="nil"/>
          <w:insideV w:val="single" w:sz="8" w:space="0"/>
        </w:tcBorders>
        <w:shd w:val="clear" w:color="auto" w:fill="F79646"/>
      </w:tcPr>
    </w:tblStylePr>
    <w:tblStylePr w:type="firstCol">
      <w:rPr>
        <w:b/>
        <w:bCs/>
        <w:i w:val="0"/>
        <w:iCs w:val="0"/>
        <w:color w:val="CCE8CF"/>
      </w:rPr>
      <w:tblPr/>
      <w:tcPr>
        <w:tcBorders>
          <w:left w:val="single" w:color="CCE8CF" w:sz="8" w:space="0"/>
          <w:right w:val="single" w:color="CCE8CF" w:sz="24" w:space="0"/>
          <w:insideH w:val="nil"/>
          <w:insideV w:val="nil"/>
        </w:tcBorders>
        <w:shd w:val="clear" w:color="auto" w:fill="F79646"/>
      </w:tcPr>
    </w:tblStylePr>
    <w:tblStylePr w:type="lastCol">
      <w:rPr>
        <w:b/>
        <w:bCs/>
        <w:i w:val="0"/>
        <w:iCs w:val="0"/>
        <w:color w:val="CCE8CF"/>
      </w:rPr>
      <w:tblPr/>
      <w:tcPr>
        <w:tcBorders>
          <w:top w:val="nil"/>
          <w:left w:val="single" w:color="CCE8CF" w:sz="24" w:space="0"/>
          <w:bottom w:val="nil"/>
          <w:right w:val="nil"/>
          <w:insideH w:val="nil"/>
          <w:insideV w:val="nil"/>
        </w:tcBorders>
        <w:shd w:val="clear" w:color="auto" w:fill="F79646"/>
      </w:tcPr>
    </w:tblStylePr>
    <w:tblStylePr w:type="band1Vert">
      <w:tblPr/>
      <w:tcPr>
        <w:tcBorders>
          <w:top w:val="single" w:color="CCE8CF" w:sz="8" w:space="0"/>
          <w:left w:val="single" w:color="CCE8CF" w:sz="8" w:space="0"/>
          <w:bottom w:val="single" w:color="CCE8CF" w:sz="8" w:space="0"/>
          <w:right w:val="single" w:color="CCE8CF" w:sz="8" w:space="0"/>
          <w:insideH w:val="nil"/>
          <w:insideV w:val="nil"/>
        </w:tcBorders>
        <w:shd w:val="clear" w:color="auto" w:fill="FBCAA2"/>
      </w:tcPr>
    </w:tblStylePr>
    <w:tblStylePr w:type="band1Horz">
      <w:tblPr/>
      <w:tcPr>
        <w:tcBorders>
          <w:top w:val="single" w:color="CCE8CF" w:sz="8" w:space="0"/>
          <w:left w:val="single" w:color="CCE8CF" w:sz="8" w:space="0"/>
          <w:bottom w:val="single" w:color="CCE8CF" w:sz="8" w:space="0"/>
          <w:right w:val="single" w:color="CCE8CF" w:sz="8" w:space="0"/>
          <w:insideH w:val="single" w:sz="8" w:space="0"/>
          <w:insideV w:val="single" w:sz="8" w:space="0"/>
        </w:tcBorders>
        <w:shd w:val="clear" w:color="auto" w:fill="FBCAA2"/>
      </w:tcPr>
    </w:tblStylePr>
  </w:style>
  <w:style w:type="character" w:customStyle="1" w:styleId="25">
    <w:name w:val="标题 1 Char"/>
    <w:link w:val="2"/>
    <w:qFormat/>
    <w:uiPriority w:val="0"/>
    <w:rPr>
      <w:rFonts w:ascii="黑体" w:hAnsi="Times New Roman" w:eastAsia="黑体" w:cs="Times New Roman"/>
      <w:snapToGrid w:val="0"/>
      <w:kern w:val="0"/>
      <w:sz w:val="28"/>
      <w:szCs w:val="32"/>
    </w:rPr>
  </w:style>
  <w:style w:type="character" w:customStyle="1" w:styleId="26">
    <w:name w:val="标题 2 Char"/>
    <w:link w:val="3"/>
    <w:qFormat/>
    <w:uiPriority w:val="0"/>
    <w:rPr>
      <w:rFonts w:ascii="仿宋_GB2312" w:hAnsi="Cambria" w:eastAsia="仿宋_GB2312" w:cs="Times New Roman"/>
      <w:bCs/>
      <w:snapToGrid w:val="0"/>
      <w:kern w:val="0"/>
      <w:sz w:val="28"/>
      <w:szCs w:val="32"/>
    </w:rPr>
  </w:style>
  <w:style w:type="character" w:customStyle="1" w:styleId="27">
    <w:name w:val="标题 3 Char"/>
    <w:link w:val="4"/>
    <w:qFormat/>
    <w:uiPriority w:val="0"/>
    <w:rPr>
      <w:rFonts w:ascii="仿宋_GB2312" w:hAnsi="Times New Roman" w:eastAsia="仿宋_GB2312" w:cs="Times New Roman"/>
      <w:bCs/>
      <w:snapToGrid w:val="0"/>
      <w:kern w:val="0"/>
      <w:sz w:val="28"/>
      <w:szCs w:val="32"/>
    </w:rPr>
  </w:style>
  <w:style w:type="character" w:customStyle="1" w:styleId="28">
    <w:name w:val="标题 4 Char"/>
    <w:link w:val="5"/>
    <w:qFormat/>
    <w:uiPriority w:val="0"/>
    <w:rPr>
      <w:rFonts w:ascii="仿宋_GB2312" w:hAnsi="Cambria" w:eastAsia="仿宋_GB2312" w:cs="Times New Roman"/>
      <w:bCs/>
      <w:snapToGrid w:val="0"/>
      <w:kern w:val="0"/>
      <w:sz w:val="28"/>
      <w:szCs w:val="28"/>
    </w:rPr>
  </w:style>
  <w:style w:type="character" w:customStyle="1" w:styleId="29">
    <w:name w:val="标题 5 Char"/>
    <w:link w:val="6"/>
    <w:qFormat/>
    <w:uiPriority w:val="0"/>
    <w:rPr>
      <w:rFonts w:ascii="仿宋_GB2312" w:hAnsi="Times New Roman" w:eastAsia="仿宋_GB2312" w:cs="Times New Roman"/>
      <w:bCs/>
      <w:snapToGrid w:val="0"/>
      <w:kern w:val="0"/>
      <w:sz w:val="28"/>
      <w:szCs w:val="28"/>
    </w:rPr>
  </w:style>
  <w:style w:type="character" w:customStyle="1" w:styleId="30">
    <w:name w:val="标题 6 Char"/>
    <w:link w:val="7"/>
    <w:qFormat/>
    <w:uiPriority w:val="0"/>
    <w:rPr>
      <w:rFonts w:ascii="仿宋_GB2312" w:hAnsi="Cambria" w:eastAsia="仿宋_GB2312" w:cs="Times New Roman"/>
      <w:bCs/>
      <w:snapToGrid w:val="0"/>
      <w:kern w:val="0"/>
      <w:sz w:val="28"/>
      <w:szCs w:val="24"/>
    </w:rPr>
  </w:style>
  <w:style w:type="character" w:customStyle="1" w:styleId="31">
    <w:name w:val="标题 7 Char"/>
    <w:link w:val="8"/>
    <w:qFormat/>
    <w:uiPriority w:val="0"/>
    <w:rPr>
      <w:rFonts w:ascii="仿宋_GB2312" w:hAnsi="Times New Roman" w:eastAsia="仿宋_GB2312" w:cs="Times New Roman"/>
      <w:bCs/>
      <w:snapToGrid w:val="0"/>
      <w:kern w:val="0"/>
      <w:sz w:val="28"/>
      <w:szCs w:val="24"/>
    </w:rPr>
  </w:style>
  <w:style w:type="character" w:customStyle="1" w:styleId="32">
    <w:name w:val="标题 8 Char"/>
    <w:link w:val="9"/>
    <w:qFormat/>
    <w:uiPriority w:val="0"/>
    <w:rPr>
      <w:rFonts w:ascii="仿宋_GB2312" w:hAnsi="Cambria" w:eastAsia="仿宋_GB2312" w:cs="Times New Roman"/>
      <w:snapToGrid w:val="0"/>
      <w:kern w:val="0"/>
      <w:sz w:val="28"/>
      <w:szCs w:val="24"/>
    </w:rPr>
  </w:style>
  <w:style w:type="character" w:customStyle="1" w:styleId="33">
    <w:name w:val="标题 9 Char"/>
    <w:link w:val="10"/>
    <w:qFormat/>
    <w:uiPriority w:val="0"/>
    <w:rPr>
      <w:rFonts w:ascii="仿宋_GB2312" w:hAnsi="Cambria" w:eastAsia="仿宋_GB2312" w:cs="Times New Roman"/>
      <w:snapToGrid w:val="0"/>
      <w:kern w:val="0"/>
      <w:sz w:val="28"/>
      <w:szCs w:val="21"/>
    </w:rPr>
  </w:style>
  <w:style w:type="character" w:customStyle="1" w:styleId="34">
    <w:name w:val="页脚 Char"/>
    <w:link w:val="12"/>
    <w:qFormat/>
    <w:uiPriority w:val="99"/>
    <w:rPr>
      <w:sz w:val="18"/>
      <w:szCs w:val="18"/>
    </w:rPr>
  </w:style>
  <w:style w:type="character" w:customStyle="1" w:styleId="35">
    <w:name w:val="页眉 Char"/>
    <w:link w:val="13"/>
    <w:qFormat/>
    <w:uiPriority w:val="99"/>
    <w:rPr>
      <w:sz w:val="18"/>
      <w:szCs w:val="18"/>
    </w:rPr>
  </w:style>
  <w:style w:type="character" w:customStyle="1" w:styleId="36">
    <w:name w:val="x811"/>
    <w:qFormat/>
    <w:uiPriority w:val="0"/>
    <w:rPr>
      <w:color w:val="3C3C3C"/>
      <w:sz w:val="20"/>
      <w:szCs w:val="20"/>
    </w:rPr>
  </w:style>
  <w:style w:type="paragraph" w:customStyle="1" w:styleId="37">
    <w:name w:val="List Paragraph_8c427ced-9dbf-47c8-9ec9-e78f362e13a0"/>
    <w:basedOn w:val="1"/>
    <w:qFormat/>
    <w:uiPriority w:val="34"/>
    <w:pPr>
      <w:ind w:firstLine="420" w:firstLineChars="200"/>
    </w:pPr>
  </w:style>
  <w:style w:type="paragraph" w:customStyle="1" w:styleId="38">
    <w:name w:val="表格文字"/>
    <w:qFormat/>
    <w:uiPriority w:val="0"/>
    <w:pPr>
      <w:widowControl w:val="0"/>
      <w:adjustRightInd w:val="0"/>
      <w:snapToGrid w:val="0"/>
      <w:spacing w:line="240" w:lineRule="atLeast"/>
      <w:jc w:val="center"/>
    </w:pPr>
    <w:rPr>
      <w:rFonts w:ascii="仿宋_GB2312" w:hAnsi="Times New Roman" w:eastAsia="仿宋_GB2312" w:cs="Times New Roman"/>
      <w:bCs/>
      <w:snapToGrid w:val="0"/>
      <w:sz w:val="24"/>
      <w:szCs w:val="3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pany>
  <Pages>2</Pages>
  <Words>1616</Words>
  <Characters>1777</Characters>
  <Lines>13</Lines>
  <Paragraphs>3</Paragraphs>
  <TotalTime>319</TotalTime>
  <ScaleCrop>false</ScaleCrop>
  <LinksUpToDate>false</LinksUpToDate>
  <CharactersWithSpaces>1786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2025-09-10T00:36:00Z</dcterms:created>
  <dc:creator>lenovo</dc:creator>
  <cp:lastModifiedBy>徐</cp:lastModifiedBy>
  <cp:lastPrinted>2025-06-05T02:48:00Z</cp:lastPrinted>
  <dcterms:modified xsi:type="dcterms:W3CDTF">2025-10-29T08:43:31Z</dcterms:modified>
  <dc:title>采购技术要求</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8E8F79B9931F48A3B0B7EC2475C2951D_13</vt:lpwstr>
  </property>
  <property fmtid="{D5CDD505-2E9C-101B-9397-08002B2CF9AE}" pid="4" name="KSOTemplateDocerSaveRecord">
    <vt:lpwstr>eyJoZGlkIjoiYWY5MjdjMGUyZWUyNjY4NTRmNGJmZDIwYmFlMmY2NmIiLCJ1c2VySWQiOiI5MjQ0MzgxNjcifQ==</vt:lpwstr>
  </property>
</Properties>
</file>