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F3304C">
      <w:pPr>
        <w:pStyle w:val="4"/>
        <w:spacing w:before="0" w:after="0" w:line="560" w:lineRule="exact"/>
        <w:ind w:left="643"/>
        <w:jc w:val="center"/>
        <w:rPr>
          <w:rFonts w:ascii="小标宋" w:hAnsi="小标宋" w:eastAsia="小标宋" w:cs="小标宋"/>
          <w:color w:val="000000" w:themeColor="text1"/>
          <w:sz w:val="44"/>
          <w:szCs w:val="44"/>
          <w14:textFill>
            <w14:solidFill>
              <w14:schemeClr w14:val="tx1"/>
            </w14:solidFill>
          </w14:textFill>
        </w:rPr>
      </w:pPr>
      <w:bookmarkStart w:id="0" w:name="_Toc213667614"/>
      <w:r>
        <w:rPr>
          <w:rFonts w:hint="eastAsia" w:ascii="小标宋" w:hAnsi="小标宋" w:eastAsia="小标宋" w:cs="小标宋"/>
          <w:color w:val="000000" w:themeColor="text1"/>
          <w:sz w:val="44"/>
          <w:szCs w:val="44"/>
          <w14:textFill>
            <w14:solidFill>
              <w14:schemeClr w14:val="tx1"/>
            </w14:solidFill>
          </w14:textFill>
        </w:rPr>
        <w:t>发动机全周期管理二期项目需求文档</w:t>
      </w:r>
    </w:p>
    <w:p w14:paraId="02BD7F0A">
      <w:pPr>
        <w:rPr>
          <w:rFonts w:hint="eastAsia"/>
        </w:rPr>
      </w:pPr>
    </w:p>
    <w:bookmarkEnd w:id="0"/>
    <w:p w14:paraId="6C21668A">
      <w:pPr>
        <w:spacing w:line="560" w:lineRule="exact"/>
        <w:ind w:left="64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bCs/>
          <w:color w:val="000000" w:themeColor="text1"/>
          <w:sz w:val="32"/>
          <w:szCs w:val="32"/>
          <w14:textFill>
            <w14:solidFill>
              <w14:schemeClr w14:val="tx1"/>
            </w14:solidFill>
          </w14:textFill>
        </w:rPr>
        <w:t>（1）业</w:t>
      </w:r>
      <w:r>
        <w:rPr>
          <w:rFonts w:hint="eastAsia" w:ascii="仿宋_GB2312" w:hAnsi="仿宋" w:eastAsia="仿宋_GB2312" w:cs="仿宋_GB2312"/>
          <w:color w:val="000000" w:themeColor="text1"/>
          <w:sz w:val="32"/>
          <w:szCs w:val="32"/>
          <w14:textFill>
            <w14:solidFill>
              <w14:schemeClr w14:val="tx1"/>
            </w14:solidFill>
          </w14:textFill>
        </w:rPr>
        <w:t>务整体范围</w:t>
      </w:r>
    </w:p>
    <w:p w14:paraId="5867BEA8">
      <w:pPr>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bookmarkStart w:id="1" w:name="_Hlk92804950"/>
      <w:r>
        <w:rPr>
          <w:rFonts w:hint="eastAsia" w:ascii="仿宋_GB2312" w:hAnsi="仿宋" w:eastAsia="仿宋_GB2312"/>
          <w:iCs/>
          <w:color w:val="000000" w:themeColor="text1"/>
          <w:sz w:val="32"/>
          <w:szCs w:val="32"/>
          <w14:textFill>
            <w14:solidFill>
              <w14:schemeClr w14:val="tx1"/>
            </w14:solidFill>
          </w14:textFill>
        </w:rPr>
        <w:t>本次项目主要围绕在翼管理、送修管理两个模块进行深度开发。同时，对一期项目已开发的各个模块进行全面优化，以提升系统的整体性能和业务功能。</w:t>
      </w:r>
    </w:p>
    <w:p w14:paraId="2103A359">
      <w:pPr>
        <w:spacing w:line="560" w:lineRule="exact"/>
        <w:ind w:firstLine="640" w:firstLineChars="200"/>
        <w:rPr>
          <w:rFonts w:hint="eastAsia" w:ascii="仿宋_GB2312" w:hAnsi="仿宋" w:eastAsia="仿宋_GB2312" w:cs="等线"/>
          <w:iCs/>
          <w:color w:val="000000" w:themeColor="text1"/>
          <w:sz w:val="32"/>
          <w:szCs w:val="32"/>
          <w14:textFill>
            <w14:solidFill>
              <w14:schemeClr w14:val="tx1"/>
            </w14:solidFill>
          </w14:textFill>
        </w:rPr>
      </w:pPr>
      <w:r>
        <w:rPr>
          <w:rFonts w:hint="eastAsia" w:ascii="仿宋_GB2312" w:hAnsi="仿宋" w:eastAsia="仿宋_GB2312" w:cs="等线"/>
          <w:iCs/>
          <w:color w:val="000000" w:themeColor="text1"/>
          <w:sz w:val="32"/>
          <w:szCs w:val="32"/>
          <w14:textFill>
            <w14:solidFill>
              <w14:schemeClr w14:val="tx1"/>
            </w14:solidFill>
          </w14:textFill>
        </w:rPr>
        <w:t>（2）</w:t>
      </w:r>
      <w:bookmarkEnd w:id="1"/>
      <w:bookmarkStart w:id="2" w:name="_Hlk195544051"/>
      <w:r>
        <w:rPr>
          <w:rFonts w:hint="eastAsia" w:ascii="仿宋_GB2312" w:hAnsi="仿宋" w:eastAsia="仿宋_GB2312" w:cs="仿宋_GB2312"/>
          <w:bCs/>
          <w:color w:val="000000" w:themeColor="text1"/>
          <w:sz w:val="32"/>
          <w:szCs w:val="32"/>
          <w14:textFill>
            <w14:solidFill>
              <w14:schemeClr w14:val="tx1"/>
            </w14:solidFill>
          </w14:textFill>
        </w:rPr>
        <w:t>系统功能清单</w:t>
      </w:r>
      <w:bookmarkEnd w:id="2"/>
    </w:p>
    <w:p w14:paraId="239E5FC1">
      <w:pPr>
        <w:spacing w:line="560" w:lineRule="exact"/>
        <w:ind w:left="640"/>
        <w:rPr>
          <w:rFonts w:hint="eastAsia" w:ascii="仿宋_GB2312" w:hAnsi="仿宋" w:eastAsia="仿宋_GB2312" w:cs="仿宋_GB2312"/>
          <w:bCs/>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6"/>
          <w14:textFill>
            <w14:solidFill>
              <w14:schemeClr w14:val="tx1"/>
            </w14:solidFill>
          </w14:textFill>
        </w:rPr>
        <w:t>①</w:t>
      </w:r>
      <w:r>
        <w:rPr>
          <w:rFonts w:hint="eastAsia" w:ascii="仿宋_GB2312" w:hAnsi="仿宋" w:eastAsia="仿宋_GB2312"/>
          <w:iCs/>
          <w:color w:val="000000" w:themeColor="text1"/>
          <w:sz w:val="32"/>
          <w:szCs w:val="32"/>
          <w14:textFill>
            <w14:solidFill>
              <w14:schemeClr w14:val="tx1"/>
            </w14:solidFill>
          </w14:textFill>
        </w:rPr>
        <w:t>孔探数据模型</w:t>
      </w:r>
    </w:p>
    <w:p w14:paraId="0DCC4176">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a.多接口视频流接入与适配功能</w:t>
      </w:r>
    </w:p>
    <w:p w14:paraId="6FF8173E">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接口兼容性与设备覆盖：需支持HDMI、TYPE-C等主流视频输出接口，同时兼容工业级孔探仪（如奥林巴斯、韦林）设备，满足不同品牌、型号检测设备的外接需求。针对移动检测场景，需适配平板及主流笔记本电脑，解决现场检测设备多样化的适配难题。同时外接设备需支持远程会诊人工复核孔探视频和图片的功能。</w:t>
      </w:r>
    </w:p>
    <w:p w14:paraId="1BA09B63">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视频流处理与稳定性保障：系统</w:t>
      </w:r>
      <w:r>
        <w:rPr>
          <w:rFonts w:hint="eastAsia" w:ascii="仿宋_GB2312" w:hAnsi="仿宋" w:eastAsia="仿宋_GB2312"/>
          <w:color w:val="000000" w:themeColor="text1"/>
          <w:sz w:val="32"/>
          <w:szCs w:val="32"/>
          <w:lang w:eastAsia="zh-CN"/>
          <w14:textFill>
            <w14:solidFill>
              <w14:schemeClr w14:val="tx1"/>
            </w14:solidFill>
          </w14:textFill>
        </w:rPr>
        <w:t>须具备</w:t>
      </w:r>
      <w:r>
        <w:rPr>
          <w:rFonts w:hint="eastAsia" w:ascii="仿宋_GB2312" w:hAnsi="仿宋" w:eastAsia="仿宋_GB2312"/>
          <w:color w:val="000000" w:themeColor="text1"/>
          <w:sz w:val="32"/>
          <w:szCs w:val="32"/>
          <w14:textFill>
            <w14:solidFill>
              <w14:schemeClr w14:val="tx1"/>
            </w14:solidFill>
          </w14:textFill>
        </w:rPr>
        <w:t>自动分辨率适配能力，支持常见视频分辨率，可根据设备输出参数实时调整解码策略；针对孔探检测中可能出现的低光照、高速移动画面，需内置图像增强算法（如自动曝光补偿、降噪处理），确保视频画面清晰无拖影。同时，需设计临时缓存机制（本地缓存容量≥10GB），防止因现场网络波动或设备短暂断连导致的视频数据丢失，缓存数据可在设备重新连接后自动续传，为后续缺陷识别提供完整、稳定的原始数据。</w:t>
      </w:r>
    </w:p>
    <w:p w14:paraId="7B75F429">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b.孔探报告任务流缺陷识别辅助功能</w:t>
      </w:r>
    </w:p>
    <w:p w14:paraId="7724C8DE">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缺陷识别精度与类型覆盖：在报告生成全流程中提供缺陷辅助识别功能，支持对孔探视频扫描、静态图片（格式含JPG、PNG、BMP）准实时分析（3</w:t>
      </w:r>
      <w:r>
        <w:rPr>
          <w:rFonts w:hint="eastAsia" w:ascii="仿宋_GB2312" w:hAnsi="仿宋" w:eastAsia="仿宋_GB2312"/>
          <w:color w:val="000000" w:themeColor="text1"/>
          <w:sz w:val="32"/>
          <w:szCs w:val="32"/>
          <w:lang w:eastAsia="zh-CN"/>
          <w14:textFill>
            <w14:solidFill>
              <w14:schemeClr w14:val="tx1"/>
            </w14:solidFill>
          </w14:textFill>
        </w:rPr>
        <w:t>—</w:t>
      </w:r>
      <w:r>
        <w:rPr>
          <w:rFonts w:hint="eastAsia" w:ascii="仿宋_GB2312" w:hAnsi="仿宋" w:eastAsia="仿宋_GB2312"/>
          <w:color w:val="000000" w:themeColor="text1"/>
          <w:sz w:val="32"/>
          <w:szCs w:val="32"/>
          <w14:textFill>
            <w14:solidFill>
              <w14:schemeClr w14:val="tx1"/>
            </w14:solidFill>
          </w14:textFill>
        </w:rPr>
        <w:t>5s延迟），可精准识别发动机内部常见缺陷。识别结果需通过颜色矩形标注框定位缺陷位置，叠加黄色高亮显示缺陷边缘，并在画面右侧生成缺陷信息面板，包含缺陷类型及置信度，置信度阈值≥80%显示结果，避免低置信度误导。</w:t>
      </w:r>
    </w:p>
    <w:p w14:paraId="593AF624">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为提高落地可行性，采用渐进式目标设定：</w:t>
      </w:r>
    </w:p>
    <w:p w14:paraId="4601A8E8">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第一阶段：识别准确率达到≥80%，召回率≥78%，F1-score≥0.79，覆盖3-5种常见缺陷类型。（本期项目目标）</w:t>
      </w:r>
    </w:p>
    <w:p w14:paraId="48B9A05A">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第二阶段：准确率提升至</w:t>
      </w:r>
      <w:r>
        <w:rPr>
          <w:rFonts w:hint="eastAsia" w:ascii="仿宋_GB2312" w:hAnsi="仿宋" w:eastAsia="仿宋_GB2312"/>
          <w:color w:val="000000" w:themeColor="text1"/>
          <w:sz w:val="32"/>
          <w:szCs w:val="32"/>
          <w:lang w:eastAsia="zh-CN"/>
          <w14:textFill>
            <w14:solidFill>
              <w14:schemeClr w14:val="tx1"/>
            </w14:solidFill>
          </w14:textFill>
        </w:rPr>
        <w:t>85%—90%</w:t>
      </w:r>
      <w:r>
        <w:rPr>
          <w:rFonts w:hint="eastAsia" w:ascii="仿宋_GB2312" w:hAnsi="仿宋" w:eastAsia="仿宋_GB2312"/>
          <w:color w:val="000000" w:themeColor="text1"/>
          <w:sz w:val="32"/>
          <w:szCs w:val="32"/>
          <w14:textFill>
            <w14:solidFill>
              <w14:schemeClr w14:val="tx1"/>
            </w14:solidFill>
          </w14:textFill>
        </w:rPr>
        <w:t>，召回率≥88%，F1-score≥0.87，扩展缺陷类型覆盖。</w:t>
      </w:r>
    </w:p>
    <w:p w14:paraId="14496EE5">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最终目标：准确率稳定在90%以上，召回率≥92%，F1-score≥0.91。</w:t>
      </w:r>
    </w:p>
    <w:p w14:paraId="603004A2">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与报告任务流的深度融合：系统需与孔探报告管理平台对接，当检测人员上传视频/图片至报告草稿时，缺陷辅助识别功能可按需弹窗显示。</w:t>
      </w:r>
    </w:p>
    <w:p w14:paraId="2D2E9298">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c.孔探数据模型训练功能</w:t>
      </w:r>
    </w:p>
    <w:p w14:paraId="6EBA9F97">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批量训练模式设计：历史数据统计与梳理使用现有可用于训练的历史孔探影像资料，包含视频总时长、图片总数量（目前已积累500小时以上孔探视频，约2000张带有缺陷的照片）、覆盖多种常见缺陷类型（如裂纹、烧蚀、烧穿等）。</w:t>
      </w:r>
    </w:p>
    <w:p w14:paraId="088963E9">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支持检测人员上传批量历史数据，数据格式需兼容主流标注工具（如LabelImg、VGG Image Annotator）的输出格式。系统需提供训练任务管理功能，包括任务创建（设置训练轮次、学习率等参数）、进度查看（实时显示训练损失值、准确率曲线）、任务暂停/继续/终止操作；训练完成后自动生成模型评估报告，包含缺陷识别准确率（按缺陷类型分别统计）、召回率、F1分数等指标，便于判断模型效果。</w:t>
      </w:r>
    </w:p>
    <w:p w14:paraId="19CAA575">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实时纠偏训练与模型迭代：在报告提交环节，若检测人员发现辅助识别结果有误（如缺陷类型误判、漏标），可通过“手动标注</w:t>
      </w:r>
      <w:r>
        <w:rPr>
          <w:rFonts w:hint="eastAsia" w:ascii="仿宋_GB2312" w:hAnsi="仿宋" w:eastAsia="仿宋_GB2312"/>
          <w:color w:val="000000" w:themeColor="text1"/>
          <w:sz w:val="32"/>
          <w:szCs w:val="32"/>
          <w:lang w:eastAsia="zh-CN"/>
          <w14:textFill>
            <w14:solidFill>
              <w14:schemeClr w14:val="tx1"/>
            </w14:solidFill>
          </w14:textFill>
        </w:rPr>
        <w:t>－</w:t>
      </w:r>
      <w:r>
        <w:rPr>
          <w:rFonts w:hint="eastAsia" w:ascii="仿宋_GB2312" w:hAnsi="仿宋" w:eastAsia="仿宋_GB2312"/>
          <w:color w:val="000000" w:themeColor="text1"/>
          <w:sz w:val="32"/>
          <w:szCs w:val="32"/>
          <w14:textFill>
            <w14:solidFill>
              <w14:schemeClr w14:val="tx1"/>
            </w14:solidFill>
          </w14:textFill>
        </w:rPr>
        <w:t>触发纠偏”功能，在报告界面直接框选缺陷区域、填写正确缺陷信息，点击“确认纠偏”后，系统自动将该条数据加入训练样本库，并启动轻量化训练（训练时长≤5 分钟），即时更新模型参数。同时，需设计样本审核任务流，纠偏后的样本需经审核通过后，方可正式纳入训练库，确保样本准确性；支持模型版本管理，保留近100个历史模型版本，可一键回滚至任一版本，避免因新模型效果不佳影响检测工作。</w:t>
      </w:r>
    </w:p>
    <w:p w14:paraId="0E3A3BBE">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d.功能扩展性</w:t>
      </w:r>
    </w:p>
    <w:p w14:paraId="6B12B160">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系统需提供缺陷类型自定义功能，允许用户新增行业特定缺陷类型、调整缺陷严重程度判定标准。</w:t>
      </w:r>
    </w:p>
    <w:p w14:paraId="472BA969">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e.质量控制与数据安全</w:t>
      </w:r>
    </w:p>
    <w:p w14:paraId="710EEC98">
      <w:pPr>
        <w:pStyle w:val="2"/>
        <w:spacing w:line="560" w:lineRule="exact"/>
        <w:ind w:firstLine="640" w:firstLineChars="200"/>
        <w:rPr>
          <w:rFonts w:hint="eastAsia" w:ascii="仿宋_GB2312" w:hAnsi="仿宋" w:eastAsia="仿宋_GB2312"/>
          <w:color w:val="000000" w:themeColor="text1"/>
          <w:sz w:val="32"/>
          <w:szCs w:val="32"/>
          <w14:textFill>
            <w14:solidFill>
              <w14:schemeClr w14:val="tx1"/>
            </w14:solidFill>
          </w14:textFill>
        </w:rPr>
      </w:pPr>
      <w:r>
        <w:rPr>
          <w:rFonts w:hint="eastAsia" w:ascii="仿宋_GB2312" w:hAnsi="仿宋" w:eastAsia="仿宋_GB2312"/>
          <w:color w:val="000000" w:themeColor="text1"/>
          <w:sz w:val="32"/>
          <w:szCs w:val="32"/>
          <w14:textFill>
            <w14:solidFill>
              <w14:schemeClr w14:val="tx1"/>
            </w14:solidFill>
          </w14:textFill>
        </w:rPr>
        <w:t>数据标注由业务单位实施，海航技术提供业务专家进行质量控制与确认，确保数据使用的安全合规性，且符合公司保密规定。</w:t>
      </w:r>
    </w:p>
    <w:p w14:paraId="6497800C">
      <w:pPr>
        <w:pStyle w:val="2"/>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②发动机送修成本分析功能：</w:t>
      </w:r>
    </w:p>
    <w:p w14:paraId="23183DE1">
      <w:pPr>
        <w:pStyle w:val="2"/>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a.可建立发动机送修成本分析模型，并基于历史送修的数据，自动估算送修所需的费用，例如自动估算所需的材料费，工时费等维修成本。</w:t>
      </w:r>
    </w:p>
    <w:p w14:paraId="740A9B54">
      <w:pPr>
        <w:pStyle w:val="2"/>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b.跟踪发动机维修进度，预测返厂周期，评估送修时间对机队运营成本的影响，优化送修时间规划。</w:t>
      </w:r>
    </w:p>
    <w:p w14:paraId="55F5E75E">
      <w:pPr>
        <w:pStyle w:val="2"/>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c.根据发动机更换计划和机队使用计划，提供收益模型，提供多种维修策略和备发保障计划。</w:t>
      </w:r>
    </w:p>
    <w:p w14:paraId="55B9D2BF">
      <w:pPr>
        <w:pStyle w:val="2"/>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e.提供相关的图形化展示。</w:t>
      </w:r>
    </w:p>
    <w:p w14:paraId="54D6BBCF">
      <w:pPr>
        <w:pStyle w:val="2"/>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bookmarkStart w:id="3" w:name="_Hlk213682111"/>
      <w:r>
        <w:rPr>
          <w:rFonts w:hint="eastAsia" w:ascii="仿宋_GB2312" w:hAnsi="仿宋" w:eastAsia="仿宋_GB2312"/>
          <w:iCs/>
          <w:color w:val="000000" w:themeColor="text1"/>
          <w:sz w:val="32"/>
          <w:szCs w:val="32"/>
          <w14:textFill>
            <w14:solidFill>
              <w14:schemeClr w14:val="tx1"/>
            </w14:solidFill>
          </w14:textFill>
        </w:rPr>
        <w:t>③一期需优化的需求</w:t>
      </w:r>
      <w:r>
        <w:rPr>
          <w:rFonts w:hint="eastAsia" w:ascii="仿宋_GB2312" w:hAnsi="仿宋" w:eastAsia="仿宋_GB2312"/>
          <w:iCs/>
          <w:color w:val="000000" w:themeColor="text1"/>
          <w:sz w:val="32"/>
          <w:szCs w:val="32"/>
          <w:lang w:eastAsia="zh-CN"/>
          <w14:textFill>
            <w14:solidFill>
              <w14:schemeClr w14:val="tx1"/>
            </w14:solidFill>
          </w14:textFill>
        </w:rPr>
        <w:t>：</w:t>
      </w:r>
    </w:p>
    <w:tbl>
      <w:tblPr>
        <w:tblStyle w:val="16"/>
        <w:tblW w:w="864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7938"/>
      </w:tblGrid>
      <w:tr w14:paraId="212F5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704" w:type="dxa"/>
            <w:vAlign w:val="center"/>
          </w:tcPr>
          <w:p w14:paraId="4CEFC68C">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b/>
                <w:bCs/>
                <w:color w:val="000000" w:themeColor="text1"/>
                <w:kern w:val="0"/>
                <w:sz w:val="22"/>
                <w14:textFill>
                  <w14:solidFill>
                    <w14:schemeClr w14:val="tx1"/>
                  </w14:solidFill>
                </w14:textFill>
              </w:rPr>
              <w:t>模块名称</w:t>
            </w:r>
          </w:p>
        </w:tc>
        <w:tc>
          <w:tcPr>
            <w:tcW w:w="7938" w:type="dxa"/>
            <w:vAlign w:val="center"/>
          </w:tcPr>
          <w:p w14:paraId="25A0B43D">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b/>
                <w:bCs/>
                <w:color w:val="000000" w:themeColor="text1"/>
                <w:kern w:val="0"/>
                <w:sz w:val="22"/>
                <w14:textFill>
                  <w14:solidFill>
                    <w14:schemeClr w14:val="tx1"/>
                  </w14:solidFill>
                </w14:textFill>
              </w:rPr>
              <w:t>需求描述</w:t>
            </w:r>
          </w:p>
        </w:tc>
      </w:tr>
      <w:tr w14:paraId="7F86E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restart"/>
            <w:vAlign w:val="center"/>
          </w:tcPr>
          <w:p w14:paraId="3042BD85">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系统设置</w:t>
            </w:r>
          </w:p>
        </w:tc>
        <w:tc>
          <w:tcPr>
            <w:tcW w:w="7938" w:type="dxa"/>
            <w:vAlign w:val="center"/>
          </w:tcPr>
          <w:p w14:paraId="0B6D69F7">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美化各个界面的视图，包括色彩，字体，自主排序，自主调宽等。</w:t>
            </w:r>
          </w:p>
        </w:tc>
      </w:tr>
      <w:tr w14:paraId="79E6E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75BD37C6">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77119DFD">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调整各个界面的</w:t>
            </w:r>
            <w:r>
              <w:rPr>
                <w:rFonts w:hint="eastAsia" w:ascii="仿宋_GB2312" w:hAnsi="等线" w:eastAsia="仿宋_GB2312" w:cs="宋体"/>
                <w:color w:val="000000" w:themeColor="text1"/>
                <w:kern w:val="0"/>
                <w:sz w:val="22"/>
                <w:lang w:eastAsia="zh-CN"/>
                <w14:textFill>
                  <w14:solidFill>
                    <w14:schemeClr w14:val="tx1"/>
                  </w14:solidFill>
                </w14:textFill>
              </w:rPr>
              <w:t>过滤</w:t>
            </w:r>
            <w:r>
              <w:rPr>
                <w:rFonts w:ascii="仿宋_GB2312" w:hAnsi="等线" w:eastAsia="仿宋_GB2312" w:cs="宋体"/>
                <w:color w:val="000000" w:themeColor="text1"/>
                <w:kern w:val="0"/>
                <w:sz w:val="22"/>
                <w14:textFill>
                  <w14:solidFill>
                    <w14:schemeClr w14:val="tx1"/>
                  </w14:solidFill>
                </w14:textFill>
              </w:rPr>
              <w:t>排布。</w:t>
            </w:r>
          </w:p>
        </w:tc>
      </w:tr>
      <w:tr w14:paraId="5E2B6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29E749DB">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2909205D">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可在任意位置添加提示标签，进行提示。</w:t>
            </w:r>
          </w:p>
        </w:tc>
      </w:tr>
      <w:tr w14:paraId="1899D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4204565C">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3B71D233">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按照需求调整各个页面字段的排布内容。</w:t>
            </w:r>
          </w:p>
        </w:tc>
      </w:tr>
      <w:tr w14:paraId="57861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6040BD74">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2EB10127">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可分别操作原窗口和弹出的窗口，弹出窗口可拖出浏览器。</w:t>
            </w:r>
          </w:p>
        </w:tc>
      </w:tr>
      <w:tr w14:paraId="4BFC8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4D762BD6">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497C98BE">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流程节点可按需增加邮件通知和短信通知，可采用通用通知模板或额外增加通知人员设置或单独设置通知人员。邮件接收人批量查询、替换和删除功能。</w:t>
            </w:r>
          </w:p>
        </w:tc>
      </w:tr>
      <w:tr w14:paraId="34A26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33148A33">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36068ED6">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各流程节点可单独设置任务期限和延期。流程节点需记录每个节点任务的开始日期，时刻和任务处理的耗时。</w:t>
            </w:r>
          </w:p>
        </w:tc>
      </w:tr>
      <w:tr w14:paraId="61FE3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55331243">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23507DFE">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流程增加节点备注。</w:t>
            </w:r>
          </w:p>
        </w:tc>
      </w:tr>
      <w:tr w14:paraId="74A44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6FAE4BEB">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0CA36D49">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3"/>
                <w:szCs w:val="23"/>
                <w14:textFill>
                  <w14:solidFill>
                    <w14:schemeClr w14:val="tx1"/>
                  </w14:solidFill>
                </w14:textFill>
              </w:rPr>
              <w:t>实现客户化打印，可以根据营运人，产权人或修理厂等选择不同的模板进行文档打印。</w:t>
            </w:r>
          </w:p>
        </w:tc>
      </w:tr>
      <w:tr w14:paraId="2771D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5D4BC2B8">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3E79F55E">
            <w:pPr>
              <w:widowControl/>
              <w:rPr>
                <w:rFonts w:hint="eastAsia" w:ascii="仿宋_GB2312" w:hAnsi="等线" w:eastAsia="仿宋_GB2312" w:cs="宋体"/>
                <w:color w:val="000000" w:themeColor="text1"/>
                <w:kern w:val="0"/>
                <w:sz w:val="23"/>
                <w:szCs w:val="23"/>
                <w14:textFill>
                  <w14:solidFill>
                    <w14:schemeClr w14:val="tx1"/>
                  </w14:solidFill>
                </w14:textFill>
              </w:rPr>
            </w:pPr>
            <w:r>
              <w:rPr>
                <w:rFonts w:ascii="仿宋_GB2312" w:hAnsi="等线" w:eastAsia="仿宋_GB2312" w:cs="宋体"/>
                <w:color w:val="000000" w:themeColor="text1"/>
                <w:kern w:val="0"/>
                <w:sz w:val="23"/>
                <w:szCs w:val="23"/>
                <w14:textFill>
                  <w14:solidFill>
                    <w14:schemeClr w14:val="tx1"/>
                  </w14:solidFill>
                </w14:textFill>
              </w:rPr>
              <w:t>细化授权，可以按营运人，产权人，单台发动机，时间段等维度进行单独授权。</w:t>
            </w:r>
          </w:p>
          <w:p w14:paraId="67C6FFE5">
            <w:pPr>
              <w:widowControl/>
              <w:rPr>
                <w:rFonts w:hint="eastAsia" w:ascii="仿宋_GB2312" w:hAnsi="等线" w:eastAsia="仿宋_GB2312" w:cs="宋体"/>
                <w:color w:val="000000" w:themeColor="text1"/>
                <w:kern w:val="0"/>
                <w:sz w:val="23"/>
                <w:szCs w:val="23"/>
                <w14:textFill>
                  <w14:solidFill>
                    <w14:schemeClr w14:val="tx1"/>
                  </w14:solidFill>
                </w14:textFill>
              </w:rPr>
            </w:pPr>
            <w:r>
              <w:rPr>
                <w:rFonts w:ascii="仿宋_GB2312" w:hAnsi="等线" w:eastAsia="仿宋_GB2312" w:cs="宋体"/>
                <w:color w:val="000000" w:themeColor="text1"/>
                <w:kern w:val="0"/>
                <w:sz w:val="23"/>
                <w:szCs w:val="23"/>
                <w14:textFill>
                  <w14:solidFill>
                    <w14:schemeClr w14:val="tx1"/>
                  </w14:solidFill>
                </w14:textFill>
              </w:rPr>
              <w:t>任务指派和任务处理需分开设定。</w:t>
            </w:r>
          </w:p>
          <w:p w14:paraId="5853F1D8">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3"/>
                <w:szCs w:val="23"/>
                <w14:textFill>
                  <w14:solidFill>
                    <w14:schemeClr w14:val="tx1"/>
                  </w14:solidFill>
                </w14:textFill>
              </w:rPr>
              <w:t>实现人员授权和流程的总体查询，批量替换、批量删除和批量调整功能。</w:t>
            </w:r>
          </w:p>
        </w:tc>
      </w:tr>
      <w:tr w14:paraId="59F6D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562EF0E4">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61DC42AD">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增加发动机产权属性，增加产权属性维度的授权（SAP获取）。</w:t>
            </w:r>
          </w:p>
        </w:tc>
      </w:tr>
      <w:tr w14:paraId="68A96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6EA07FB0">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1E4F70DC">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增加批量下载附件功能，可设定附件归类和查看权限。</w:t>
            </w:r>
          </w:p>
        </w:tc>
      </w:tr>
      <w:tr w14:paraId="6580E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46D60AB0">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1C64E3B9">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实现中英双语界面。</w:t>
            </w:r>
          </w:p>
        </w:tc>
      </w:tr>
      <w:tr w14:paraId="2611F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1CE7DF88">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067733FC">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二级节点的任务均需支持改版，并增加改版备注，对于细节的改版内容，需进行高亮，鼠标悬停时，展示上一版的数据，并可提供上一版任务的历史页面。</w:t>
            </w:r>
          </w:p>
        </w:tc>
      </w:tr>
      <w:tr w14:paraId="25063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1ABB4452">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1D38BF0E">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针对外部账号，首次登录需修改为符合要求的密码，外部账号</w:t>
            </w:r>
            <w:r>
              <w:rPr>
                <w:rFonts w:hint="eastAsia" w:ascii="仿宋_GB2312" w:hAnsi="等线" w:eastAsia="仿宋_GB2312" w:cs="宋体"/>
                <w:color w:val="000000" w:themeColor="text1"/>
                <w:kern w:val="0"/>
                <w:sz w:val="22"/>
                <w:lang w:eastAsia="zh-CN"/>
                <w14:textFill>
                  <w14:solidFill>
                    <w14:schemeClr w14:val="tx1"/>
                  </w14:solidFill>
                </w14:textFill>
              </w:rPr>
              <w:t>超过</w:t>
            </w:r>
            <w:r>
              <w:rPr>
                <w:rFonts w:ascii="仿宋_GB2312" w:hAnsi="等线" w:eastAsia="仿宋_GB2312" w:cs="宋体"/>
                <w:color w:val="000000" w:themeColor="text1"/>
                <w:kern w:val="0"/>
                <w:sz w:val="22"/>
                <w14:textFill>
                  <w14:solidFill>
                    <w14:schemeClr w14:val="tx1"/>
                  </w14:solidFill>
                </w14:textFill>
              </w:rPr>
              <w:t>3个月未登录强制修改默认密码并通知提醒用户。</w:t>
            </w:r>
          </w:p>
        </w:tc>
      </w:tr>
      <w:tr w14:paraId="390A2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7A8F0B25">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5CAB773C">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系统配置</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邮件模板：新增邮件模板配置功能，通知邮件配置中可选关联模板。</w:t>
            </w:r>
          </w:p>
        </w:tc>
      </w:tr>
      <w:tr w14:paraId="378EF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56BE17BE">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55A1B44E">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系统配置</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邮件组：邮件接收人维护分组功能。</w:t>
            </w:r>
          </w:p>
        </w:tc>
      </w:tr>
      <w:tr w14:paraId="7B48B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03ACCAFF">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任务流</w:t>
            </w:r>
          </w:p>
        </w:tc>
        <w:tc>
          <w:tcPr>
            <w:tcW w:w="7938" w:type="dxa"/>
            <w:vAlign w:val="center"/>
          </w:tcPr>
          <w:p w14:paraId="16F43A5B">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1.各类流程标题需增加发动机型号，序号，飞机号，发动机位置等关键信息。</w:t>
            </w:r>
          </w:p>
          <w:p w14:paraId="326F84DC">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2.增加后续跟踪任务的默认到期日期。</w:t>
            </w:r>
          </w:p>
        </w:tc>
      </w:tr>
      <w:tr w14:paraId="1778A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2EAA201D">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发动机附件</w:t>
            </w:r>
          </w:p>
        </w:tc>
        <w:tc>
          <w:tcPr>
            <w:tcW w:w="7938" w:type="dxa"/>
            <w:vAlign w:val="center"/>
          </w:tcPr>
          <w:p w14:paraId="4F9EBAFF">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进入页面时先不要查询，当输入过滤条件之后，再查询。点击之后可查看该部件的拆装历史和送修报告。可以查询某个或者多个件号部件的拆换信息和送修报告。</w:t>
            </w:r>
          </w:p>
        </w:tc>
      </w:tr>
      <w:tr w14:paraId="21B80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0AA78C5E">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发动机状态监控</w:t>
            </w:r>
          </w:p>
        </w:tc>
        <w:tc>
          <w:tcPr>
            <w:tcW w:w="7938" w:type="dxa"/>
            <w:vAlign w:val="center"/>
          </w:tcPr>
          <w:p w14:paraId="58C09836">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1.发动机状态概览：新增以飞机或者发动机维度展示状态概览界面，可对发动机监控的整体状态根据不同的预警级别进行展示。展示目前飞机的运行状态，例如飞机的位置，航班信息状态等。</w:t>
            </w:r>
          </w:p>
          <w:p w14:paraId="6F9C33F2">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2.报文预警设置：</w:t>
            </w:r>
          </w:p>
          <w:p w14:paraId="5681AD12">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（1）将预警逻辑设置增加使用Python语言进行逻辑预设，实现复杂报文预警功能。</w:t>
            </w:r>
          </w:p>
          <w:p w14:paraId="47D96394">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（2）优化邮件和短信通知功能，实现可按组，或按需等组合分发邮件和短信</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合并至通用功能里对邮件和短信功能进行优化</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w:t>
            </w:r>
          </w:p>
          <w:p w14:paraId="79CE0F03">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（3）可人工或预设规则，失效特定的数据点，不参与警告计算。</w:t>
            </w:r>
          </w:p>
          <w:p w14:paraId="7122D5A8">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（4）增加针对数据坏点的处理选择。（单个任务判断数据点是否非法参数）</w:t>
            </w:r>
          </w:p>
          <w:p w14:paraId="606B79B4">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（5）实现多警告关联，设置生成新的警告任务（多</w:t>
            </w:r>
            <w:r>
              <w:rPr>
                <w:rFonts w:hint="eastAsia" w:ascii="仿宋_GB2312" w:hAnsi="等线" w:eastAsia="仿宋_GB2312" w:cs="宋体"/>
                <w:color w:val="000000" w:themeColor="text1"/>
                <w:kern w:val="0"/>
                <w:sz w:val="22"/>
                <w:lang w:eastAsia="zh-CN"/>
                <w14:textFill>
                  <w14:solidFill>
                    <w14:schemeClr w14:val="tx1"/>
                  </w14:solidFill>
                </w14:textFill>
              </w:rPr>
              <w:t>模板</w:t>
            </w:r>
            <w:r>
              <w:rPr>
                <w:rFonts w:ascii="仿宋_GB2312" w:hAnsi="等线" w:eastAsia="仿宋_GB2312" w:cs="宋体"/>
                <w:color w:val="000000" w:themeColor="text1"/>
                <w:kern w:val="0"/>
                <w:sz w:val="22"/>
                <w14:textFill>
                  <w14:solidFill>
                    <w14:schemeClr w14:val="tx1"/>
                  </w14:solidFill>
                </w14:textFill>
              </w:rPr>
              <w:t>协调生成任务）；</w:t>
            </w:r>
          </w:p>
          <w:p w14:paraId="1628C8FB">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套图和报文自动汇总（uplink关联图形化监控）。</w:t>
            </w:r>
          </w:p>
          <w:p w14:paraId="35B30FD0">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（6）增加专项监控适用性选择。专项监控配置和预警参数配置打通，专项监控结果从关联的预警参数，预警参数关联的预警任务里</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自动填入。</w:t>
            </w:r>
          </w:p>
          <w:p w14:paraId="3172751B">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（7）实现警告设置权限细化管理：同样的警告设置，会被TS和其他航司一起编辑和使用。</w:t>
            </w:r>
          </w:p>
          <w:p w14:paraId="0F035EC9">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（8）增加预警或预警逻辑表达式设置复制，生效功能。可复制其他预警参数的表达式。</w:t>
            </w:r>
          </w:p>
          <w:p w14:paraId="0F57ED8F">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（9）权限限定，仅允许预警建立人进行修改，或自行定义可共同修改的账号。</w:t>
            </w:r>
          </w:p>
          <w:p w14:paraId="3B4144B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4.报文模板可支持多</w:t>
            </w:r>
            <w:r>
              <w:rPr>
                <w:rFonts w:hint="eastAsia" w:ascii="仿宋_GB2312" w:hAnsi="等线" w:eastAsia="仿宋_GB2312" w:cs="宋体"/>
                <w:color w:val="000000" w:themeColor="text1"/>
                <w:kern w:val="0"/>
                <w:sz w:val="22"/>
                <w:lang w:eastAsia="zh-CN"/>
                <w14:textFill>
                  <w14:solidFill>
                    <w14:schemeClr w14:val="tx1"/>
                  </w14:solidFill>
                </w14:textFill>
              </w:rPr>
              <w:t>关键字</w:t>
            </w:r>
            <w:r>
              <w:rPr>
                <w:rFonts w:ascii="仿宋_GB2312" w:hAnsi="等线" w:eastAsia="仿宋_GB2312" w:cs="宋体"/>
                <w:color w:val="000000" w:themeColor="text1"/>
                <w:kern w:val="0"/>
                <w:sz w:val="22"/>
                <w14:textFill>
                  <w14:solidFill>
                    <w14:schemeClr w14:val="tx1"/>
                  </w14:solidFill>
                </w14:textFill>
              </w:rPr>
              <w:t>的关系。</w:t>
            </w:r>
            <w:r>
              <w:rPr>
                <w:rFonts w:hint="eastAsia" w:ascii="仿宋_GB2312" w:hAnsi="等线" w:eastAsia="仿宋_GB2312" w:cs="宋体"/>
                <w:color w:val="000000" w:themeColor="text1"/>
                <w:kern w:val="0"/>
                <w:sz w:val="22"/>
                <w:lang w:eastAsia="zh-CN"/>
                <w14:textFill>
                  <w14:solidFill>
                    <w14:schemeClr w14:val="tx1"/>
                  </w14:solidFill>
                </w14:textFill>
              </w:rPr>
              <w:t>模板</w:t>
            </w:r>
            <w:r>
              <w:rPr>
                <w:rFonts w:ascii="仿宋_GB2312" w:hAnsi="等线" w:eastAsia="仿宋_GB2312" w:cs="宋体"/>
                <w:color w:val="000000" w:themeColor="text1"/>
                <w:kern w:val="0"/>
                <w:sz w:val="22"/>
                <w14:textFill>
                  <w14:solidFill>
                    <w14:schemeClr w14:val="tx1"/>
                  </w14:solidFill>
                </w14:textFill>
              </w:rPr>
              <w:t>匹配参数匹配逻辑与或非。</w:t>
            </w:r>
          </w:p>
          <w:p w14:paraId="51F5078D">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5.预警任务：可关联MOCP中相关故障处理记录（MOCP提供接口）；增加预警准确与否的标注。</w:t>
            </w:r>
          </w:p>
          <w:p w14:paraId="402F907A">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6.报文图形展示优化：</w:t>
            </w:r>
          </w:p>
          <w:p w14:paraId="7BC6738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（1）实现秒级画图速度，图形可通过鼠标滚轮局部放大或缩小，实现图形汇总或分图显示。对于分图模式，需要提供坐标轴联动功能。</w:t>
            </w:r>
          </w:p>
          <w:p w14:paraId="074A1E3E">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（2）增加套图中的子图排序设定，并可对阈值进行显示，可自定义平滑曲线。</w:t>
            </w:r>
          </w:p>
          <w:p w14:paraId="4176E619">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（3）可自定义坐标轴的参数。</w:t>
            </w:r>
          </w:p>
          <w:p w14:paraId="0966220E">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（4）对于多台发动机，需展示飞机号，发动机位置的信息。实现关键位置点标注和备注。</w:t>
            </w:r>
          </w:p>
          <w:p w14:paraId="2E3525D0">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7.增加uplink快链和画图直接关联，并可调阅历史数据，关联飞机软件构型。</w:t>
            </w:r>
          </w:p>
          <w:p w14:paraId="47F87547">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8.增加展示报文传输情况功能。</w:t>
            </w:r>
          </w:p>
        </w:tc>
      </w:tr>
      <w:tr w14:paraId="0A91A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2B0C5A63">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重点监控发动机</w:t>
            </w:r>
          </w:p>
        </w:tc>
        <w:tc>
          <w:tcPr>
            <w:tcW w:w="7938" w:type="dxa"/>
            <w:vAlign w:val="center"/>
          </w:tcPr>
          <w:p w14:paraId="13F45093">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1.建立进入和退出机制，如选择“加入周月报”</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需生成任务流。</w:t>
            </w:r>
          </w:p>
          <w:p w14:paraId="1EC3CB4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2.增加关键部件关联，动态更新关键部件数据。</w:t>
            </w:r>
          </w:p>
          <w:p w14:paraId="58594AC3">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3.可快速查看一架飞机双发都存在空停类重点监控清单，并提供预警邮件通知。</w:t>
            </w:r>
          </w:p>
          <w:p w14:paraId="749605FC">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4.对于换发预测中，小于等于200循环的发动机自动加入重点监控，并提供邮件通知。</w:t>
            </w:r>
          </w:p>
          <w:p w14:paraId="3A708B02">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5.显示飞机的封存状态或者利用率信息。</w:t>
            </w:r>
          </w:p>
        </w:tc>
      </w:tr>
      <w:tr w14:paraId="42058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118C31B6">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专项监控</w:t>
            </w:r>
          </w:p>
        </w:tc>
        <w:tc>
          <w:tcPr>
            <w:tcW w:w="7938" w:type="dxa"/>
            <w:vAlign w:val="center"/>
          </w:tcPr>
          <w:p w14:paraId="4A5BD2E2">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1.根据不同监控项目，选择对应的报文数据，并关联相应的警告。</w:t>
            </w:r>
          </w:p>
          <w:p w14:paraId="3FB5F1AE">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2.可图形化展示。</w:t>
            </w:r>
          </w:p>
        </w:tc>
      </w:tr>
      <w:tr w14:paraId="64751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694A3DD2">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孔探管理</w:t>
            </w:r>
          </w:p>
        </w:tc>
        <w:tc>
          <w:tcPr>
            <w:tcW w:w="7938" w:type="dxa"/>
            <w:vAlign w:val="center"/>
          </w:tcPr>
          <w:p w14:paraId="6032914E">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1.增加孔探报告按需批量打印功能。</w:t>
            </w:r>
          </w:p>
          <w:p w14:paraId="0EFD4C62">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2.根据需求，调整优化孔探录入方式：先录入孔探口，再录入孔探部位，单元体根据设置自动带出，允许多个单元体。</w:t>
            </w:r>
          </w:p>
          <w:p w14:paraId="2668066C">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3.解决备发孔探的任务建立问题。</w:t>
            </w:r>
          </w:p>
          <w:p w14:paraId="7FCB2743">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4.实现孔探维度定义，孔探缺陷定义，接近口定义权限细化管理。</w:t>
            </w:r>
          </w:p>
          <w:p w14:paraId="2FAE20DD">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5.孔探趋势动态展示，根据默认维度和设置的维度进行展示，实现缺陷批量或者单独关闭，对于错误关闭的可恢复。丰富缺陷展示的信息。鼠标点击各个数据点可展示具体的缺陷数据，并需体现该缺陷的状态，以及该发动机的基础数据详细信息。</w:t>
            </w:r>
          </w:p>
          <w:p w14:paraId="462F8AF0">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6.孔探报告内容的全量导出和链接分享。</w:t>
            </w:r>
          </w:p>
          <w:p w14:paraId="28F1EC0F">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7.孔探报告模板调整，一个缺陷单独成页，每页6张照片。</w:t>
            </w:r>
          </w:p>
          <w:p w14:paraId="63F9D13E">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8.孔探视频文件自动命名，并可查询所有视频文件列表。孔探视频可批量和断点上传和下载。根据机队维度或单台维度进行单独授权。实现孔探视频直接上传，不通过附件软件上传。</w:t>
            </w:r>
          </w:p>
          <w:p w14:paraId="01DD108B">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9.增加外委孔探报告登记功能。新增孔探报告为外委孔探报告类型，对于外委孔探报告，无需输入无损伤缺陷记录和缺陷记录，使用附件进行替代。</w:t>
            </w:r>
          </w:p>
          <w:p w14:paraId="18D04FE2">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10.孔探时发动机计量值逻辑优化，可根据工作包，航班号等信息精准匹配发动机计量值。</w:t>
            </w:r>
          </w:p>
          <w:p w14:paraId="0A954B1A">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11.偏离文件管理优化，实现替换选择等功能，对于被替换的偏离</w:t>
            </w:r>
            <w:r>
              <w:rPr>
                <w:rFonts w:hint="eastAsia" w:ascii="仿宋_GB2312" w:hAnsi="等线" w:eastAsia="仿宋_GB2312" w:cs="宋体"/>
                <w:color w:val="000000" w:themeColor="text1"/>
                <w:kern w:val="0"/>
                <w:sz w:val="22"/>
                <w:lang w:eastAsia="zh-CN"/>
                <w14:textFill>
                  <w14:solidFill>
                    <w14:schemeClr w14:val="tx1"/>
                  </w14:solidFill>
                </w14:textFill>
              </w:rPr>
              <w:t>文件</w:t>
            </w:r>
            <w:r>
              <w:rPr>
                <w:rFonts w:ascii="仿宋_GB2312" w:hAnsi="等线" w:eastAsia="仿宋_GB2312" w:cs="宋体"/>
                <w:color w:val="000000" w:themeColor="text1"/>
                <w:kern w:val="0"/>
                <w:sz w:val="22"/>
                <w14:textFill>
                  <w14:solidFill>
                    <w14:schemeClr w14:val="tx1"/>
                  </w14:solidFill>
                </w14:textFill>
              </w:rPr>
              <w:t>具有校验功能，增加文件编号和版本等信息，批量查看偏离文件。</w:t>
            </w:r>
          </w:p>
          <w:p w14:paraId="1C6EDF31">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12.实现自动改版信息说明。</w:t>
            </w:r>
          </w:p>
        </w:tc>
      </w:tr>
      <w:tr w14:paraId="19E68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7C077090">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LLP查询</w:t>
            </w:r>
          </w:p>
        </w:tc>
        <w:tc>
          <w:tcPr>
            <w:tcW w:w="7938" w:type="dxa"/>
            <w:vAlign w:val="center"/>
          </w:tcPr>
          <w:p w14:paraId="447636E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1.增加LLP BTB的展示信息维度，增加拆换飞机维度，飞机小时循环的差值维度，实现附件上传功能，并可与送修返回评估进行关联附件。</w:t>
            </w:r>
          </w:p>
          <w:p w14:paraId="0624253E">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2.实现按发动机或者部件维度进行批量打印或者导出。</w:t>
            </w:r>
          </w:p>
          <w:p w14:paraId="33B56449">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3.机队查询/部件查询：APU LLP数据问题。SAP提供接口，部件监控平台</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对象类型为APU_LLP的部件数据AHR/ACY。</w:t>
            </w:r>
          </w:p>
          <w:p w14:paraId="50D5172A">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4.机队查询，该台APU已使用循环/剩余寿命循环数应采用下级四个LLP中剩余寿命最小部件的读数。</w:t>
            </w:r>
          </w:p>
        </w:tc>
      </w:tr>
      <w:tr w14:paraId="448C9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3CCF999B">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滑耗监控</w:t>
            </w:r>
          </w:p>
        </w:tc>
        <w:tc>
          <w:tcPr>
            <w:tcW w:w="7938" w:type="dxa"/>
            <w:vAlign w:val="center"/>
          </w:tcPr>
          <w:p w14:paraId="03449FEF">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1.实现按月变化的预警设置功能。</w:t>
            </w:r>
          </w:p>
          <w:p w14:paraId="7AB8586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2.完善对APU滑油添加，预警的功能和界面。</w:t>
            </w:r>
          </w:p>
          <w:p w14:paraId="0D23892A">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3.实现滑油添加记录若进行了修改，数据源系统需主动推送修改数据，并将之前的任务进行作废，并且邮件需对之前产生的警告邮件进行补发通知的功能。</w:t>
            </w:r>
          </w:p>
          <w:p w14:paraId="2751C77B">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4.丰富趋势图的数据点显示信息，并对警告产生的点进行着色。</w:t>
            </w:r>
          </w:p>
          <w:p w14:paraId="075E8E82">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5.增加滑耗统计图功能，可自定义高滑耗发动机统计展板。</w:t>
            </w:r>
          </w:p>
          <w:p w14:paraId="518DB604">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6.优化单台发动机滑耗设置，查询，以及重点监控关联。</w:t>
            </w:r>
          </w:p>
        </w:tc>
      </w:tr>
      <w:tr w14:paraId="004A3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60BFCFA1">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引进和退出</w:t>
            </w:r>
          </w:p>
        </w:tc>
        <w:tc>
          <w:tcPr>
            <w:tcW w:w="7938" w:type="dxa"/>
            <w:vAlign w:val="center"/>
          </w:tcPr>
          <w:p w14:paraId="398D4B60">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1.增加引进和退出评估弹窗提醒，可根据不同型号自行设定提醒内容，富文本格式，可带附件等。</w:t>
            </w:r>
          </w:p>
          <w:p w14:paraId="7C916D53">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发动机引进和部件引进，需增加AD和SB构型评估功能。对于随飞机引进的，AD评估需与TDMS关联，并拉取SB评估清单；对于单独引进的，AD和SB清单均需拉取。除了被代替的AD和SB，AD清单对于发动机则全拉取，对于部件则根据AD适用性拉取；SB根据适用范围、重要SB或者防空停SB等维度，自动带出进行逐条评估和构型设置。在评估页面可新增AD或SB的构型管理，并同步到构型管理模块。</w:t>
            </w:r>
          </w:p>
          <w:p w14:paraId="721C05FB">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3.根据提取的清单</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可进行人工修正AD和SB的完工日期，并将数据同步至构型管理中。</w:t>
            </w:r>
          </w:p>
          <w:p w14:paraId="381E5FB3">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4.对于有后续措施的项目，需高亮。</w:t>
            </w:r>
          </w:p>
        </w:tc>
      </w:tr>
      <w:tr w14:paraId="61504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3A2F1CE8">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构型管理</w:t>
            </w:r>
          </w:p>
        </w:tc>
        <w:tc>
          <w:tcPr>
            <w:tcW w:w="7938" w:type="dxa"/>
            <w:vAlign w:val="center"/>
          </w:tcPr>
          <w:p w14:paraId="3C74BDAF">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1.新增可关联其他AD进行评估功能，新增替代功能，新增AD和SB可互相关联的功能。可手动新增AD。</w:t>
            </w:r>
          </w:p>
          <w:p w14:paraId="659DBCC9">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2.实现返回评估完成后与构型管理数据关联。</w:t>
            </w:r>
          </w:p>
          <w:p w14:paraId="6F605F88">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3.需新增关联其他SB功能，新增替代功能，新增客户预选的预设功能。可手动新增SB。新增备件发布选项，并可同步附件构型定义。</w:t>
            </w:r>
          </w:p>
          <w:p w14:paraId="5F3DCF8D">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4.新增“其他”类型文件，该模块可以新增非发动机SB，或其他章节SB，或其他类型文件。</w:t>
            </w:r>
          </w:p>
        </w:tc>
      </w:tr>
      <w:tr w14:paraId="293F3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6053BBD2">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送修管理</w:t>
            </w:r>
          </w:p>
        </w:tc>
        <w:tc>
          <w:tcPr>
            <w:tcW w:w="7938" w:type="dxa"/>
            <w:vAlign w:val="center"/>
          </w:tcPr>
          <w:p w14:paraId="07595D74">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1.修理厂定义：建立和SAP中修理厂的交叉索引的关联，并建立与SAP进行同步的机制（SAP提供接口）。</w:t>
            </w:r>
          </w:p>
          <w:p w14:paraId="0A62EFC7">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2.发动机/APU单元体修理级别模块：新增价格列。</w:t>
            </w:r>
          </w:p>
          <w:p w14:paraId="10956775">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3.价格管理：可批量导入或者识别CLP文件中数据。</w:t>
            </w:r>
          </w:p>
          <w:p w14:paraId="4EAEB5E4">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备发管理：新增备发产权信息。增加展示图表。增加与SAP的数据交联，减少录入：同步SAP中的送修合同跟踪界面中的数据，例如入故障库日期，出库日期，商检日期，质检日期，交付地点。当发动机拆下时，则自动触发跟踪任务，细化每个节点的更新内容，并每周进行邮件提醒。</w:t>
            </w:r>
          </w:p>
          <w:p w14:paraId="1F84C31F">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5.送修过程管理：在备发管理页面和发动机送修返回评估中进行关联。</w:t>
            </w:r>
          </w:p>
          <w:p w14:paraId="433E473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6.工作范围：实现改版内容的高亮，实现工作范围改版和返回评估的联动，和上一版内容进行比对，能区分出删除，新增，和修改。实现预设送修级别，自动带出各个单元体修理最低级别，各单元体可预设软时限，以及单元体之间工作范围可做关联预设，各标签内容按需进行预设。单元体可查询历史送修数据。可新增其他章节的AD或SB或杂项文件的送修要求，点击可查看具体的AD或SB或杂项文件设置详情。MPD TASK可手动新增。LLP打印数据调整，增加寿命件BTB文件导出。增加强制项附件预设功能。AD和SB清单与构型管理清单关联查询。修正LLP显示和排序问题。各个TASK可点击后跳转至TDMS系统查看。各个TASK可批量设置打印是或者否。如果制作工作范围时，发动机未拆下，则待后续发动机拆下后，需生成后续跟踪任务到对应的工程师名下进行确认，是否需</w:t>
            </w:r>
            <w:r>
              <w:rPr>
                <w:rFonts w:hint="eastAsia" w:ascii="仿宋_GB2312" w:hAnsi="等线" w:eastAsia="仿宋_GB2312" w:cs="宋体"/>
                <w:color w:val="000000" w:themeColor="text1"/>
                <w:kern w:val="0"/>
                <w:sz w:val="22"/>
                <w:lang w:eastAsia="zh-CN"/>
                <w14:textFill>
                  <w14:solidFill>
                    <w14:schemeClr w14:val="tx1"/>
                  </w14:solidFill>
                </w14:textFill>
              </w:rPr>
              <w:t>改变</w:t>
            </w:r>
            <w:r>
              <w:rPr>
                <w:rFonts w:ascii="仿宋_GB2312" w:hAnsi="等线" w:eastAsia="仿宋_GB2312" w:cs="宋体"/>
                <w:color w:val="000000" w:themeColor="text1"/>
                <w:kern w:val="0"/>
                <w:sz w:val="22"/>
                <w14:textFill>
                  <w14:solidFill>
                    <w14:schemeClr w14:val="tx1"/>
                  </w14:solidFill>
                </w14:textFill>
              </w:rPr>
              <w:t>工作范围。附件上传自定义分类和统一查询。具有一键复制功能。一次性EO若涉及SB，且需返厂执行的，则需二次弹窗要求工程师确认。</w:t>
            </w:r>
          </w:p>
          <w:p w14:paraId="473DEEDA">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7.返回评估：新增孔探报告，BTB文件单独上传功能，并能与孔探模块和BTB模块关联。对于构型后续跟踪</w:t>
            </w:r>
            <w:r>
              <w:rPr>
                <w:rFonts w:hint="eastAsia" w:ascii="仿宋_GB2312" w:hAnsi="等线" w:eastAsia="仿宋_GB2312" w:cs="宋体"/>
                <w:color w:val="000000" w:themeColor="text1"/>
                <w:kern w:val="0"/>
                <w:sz w:val="22"/>
                <w:lang w:eastAsia="zh-CN"/>
                <w14:textFill>
                  <w14:solidFill>
                    <w14:schemeClr w14:val="tx1"/>
                  </w14:solidFill>
                </w14:textFill>
              </w:rPr>
              <w:t>任务</w:t>
            </w:r>
            <w:r>
              <w:rPr>
                <w:rFonts w:ascii="仿宋_GB2312" w:hAnsi="等线" w:eastAsia="仿宋_GB2312" w:cs="宋体"/>
                <w:color w:val="000000" w:themeColor="text1"/>
                <w:kern w:val="0"/>
                <w:sz w:val="22"/>
                <w14:textFill>
                  <w14:solidFill>
                    <w14:schemeClr w14:val="tx1"/>
                  </w14:solidFill>
                </w14:textFill>
              </w:rPr>
              <w:t>，需要进行颜色区分。修正LLP显示和排序问题。各个TASK可点击后跳转至TDMS系统查看。增加返回评估概述自动生成。增加返回评估关键字标签选择。附件上传自定义分类和统一查询。优化单元体，附件，TASK内容，允许进行手动修改和新增TASK，TASK可根据修改自动更新或者手动添加，所有修改类的都</w:t>
            </w:r>
            <w:r>
              <w:rPr>
                <w:rFonts w:hint="eastAsia" w:ascii="仿宋_GB2312" w:hAnsi="等线" w:eastAsia="仿宋_GB2312" w:cs="宋体"/>
                <w:color w:val="000000" w:themeColor="text1"/>
                <w:kern w:val="0"/>
                <w:sz w:val="22"/>
                <w:lang w:eastAsia="zh-CN"/>
                <w14:textFill>
                  <w14:solidFill>
                    <w14:schemeClr w14:val="tx1"/>
                  </w14:solidFill>
                </w14:textFill>
              </w:rPr>
              <w:t>需要</w:t>
            </w:r>
            <w:r>
              <w:rPr>
                <w:rFonts w:ascii="仿宋_GB2312" w:hAnsi="等线" w:eastAsia="仿宋_GB2312" w:cs="宋体"/>
                <w:color w:val="000000" w:themeColor="text1"/>
                <w:kern w:val="0"/>
                <w:sz w:val="22"/>
                <w14:textFill>
                  <w14:solidFill>
                    <w14:schemeClr w14:val="tx1"/>
                  </w14:solidFill>
                </w14:textFill>
              </w:rPr>
              <w:t>单独上传附件以佐证，并需进行单独标识便于识别。单元体以及附件工作范围差异允许进行修改，修改需进行附件的上传进行佐证。</w:t>
            </w:r>
          </w:p>
          <w:p w14:paraId="2E01090C">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8.拆换记录：新增TSI和CSI列，系统根据拆换记录自动计算。增加手动添加或批量导入拆换记录功能。新增是否后续跟踪功能，例如对于需要关闭运行限制的，需完成关闭之后，才能提交任务，可根据发动机型号进行预设后续跟踪任务的模板。增加附件上传功能。SAP中未记录的拆换清单。可根据不同型号预设拆换提醒事项，可预设显示条件（例如每次，推力更改），增加推力型号维度记录。后续任务清单，根据中心通用和型号客户话定义。关联的MAO中可查看对应关联工卡在TDMS或者电签工卡的反馈。</w:t>
            </w:r>
          </w:p>
          <w:p w14:paraId="78C4E1C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9.送修记录：增加历史修理记录中修理报告上传功能，新增关联返回评估功能。新增单元体送修记录。核心部件送修记录。</w:t>
            </w:r>
          </w:p>
          <w:p w14:paraId="3415A57F">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10.送修杂项费用维护：根据成本分析功能进行调整。</w:t>
            </w:r>
          </w:p>
          <w:p w14:paraId="3D7AC0B2">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11.各TAB页之间相关信息关联，例如附件信息与具体的TAKS关联查询。</w:t>
            </w:r>
          </w:p>
        </w:tc>
      </w:tr>
      <w:tr w14:paraId="6FBE9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786FD7D7">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换发预测</w:t>
            </w:r>
          </w:p>
        </w:tc>
        <w:tc>
          <w:tcPr>
            <w:tcW w:w="7938" w:type="dxa"/>
            <w:vAlign w:val="center"/>
          </w:tcPr>
          <w:p w14:paraId="75B8390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预测条件设置：特殊换发类型设置中的预测类型进行预设。换发预测间隔设置，对于来源为孔探类的，点击“孔探报告”后，点击弹出孔探报告查询列表，预设是该序号发动机，该单元体查询的结果，可修改过滤条件。</w:t>
            </w:r>
          </w:p>
          <w:p w14:paraId="376FDCC4">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2.增加关键部件定义模块。</w:t>
            </w:r>
          </w:p>
          <w:p w14:paraId="5975195A">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3.换发预测结果和换发预测明细中，自动关联飞机封存或停场的数据，识别是否封存或者停场的飞机。数据获取来源：维修工程网中生产计划</w:t>
            </w:r>
            <w:r>
              <w:rPr>
                <w:rFonts w:hint="eastAsia" w:ascii="仿宋_GB2312" w:hAnsi="等线" w:eastAsia="仿宋_GB2312" w:cs="宋体"/>
                <w:color w:val="000000" w:themeColor="text1"/>
                <w:kern w:val="0"/>
                <w:sz w:val="22"/>
                <w:lang w:eastAsia="zh-CN"/>
                <w14:textFill>
                  <w14:solidFill>
                    <w14:schemeClr w14:val="tx1"/>
                  </w14:solidFill>
                </w14:textFill>
              </w:rPr>
              <w:t>－</w:t>
            </w:r>
            <w:r>
              <w:rPr>
                <w:rFonts w:ascii="仿宋_GB2312" w:hAnsi="等线" w:eastAsia="仿宋_GB2312" w:cs="宋体"/>
                <w:color w:val="000000" w:themeColor="text1"/>
                <w:kern w:val="0"/>
                <w:sz w:val="22"/>
                <w14:textFill>
                  <w14:solidFill>
                    <w14:schemeClr w14:val="tx1"/>
                  </w14:solidFill>
                </w14:textFill>
              </w:rPr>
              <w:t>封存飞机单机信息平台。</w:t>
            </w:r>
          </w:p>
          <w:p w14:paraId="7C5A7CD7">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4.对于适用机队的情况，允许对某些发动机排除设置，并增加设置说明，例如上传附件以及备注功能。</w:t>
            </w:r>
          </w:p>
          <w:p w14:paraId="36743A9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5.换发预测增加图形化展示，结合备发保障，增加甘特图显示，可在图形上调整和拖动换发计划。</w:t>
            </w:r>
          </w:p>
          <w:p w14:paraId="23F7AD43">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6.增加备发需求计算和展示。根据换发预测，备发管理数据进行计算和展示：预测有几台要换，有几台可用备发，还有备发预计什么时候可用，进行计算。</w:t>
            </w:r>
          </w:p>
        </w:tc>
      </w:tr>
      <w:tr w14:paraId="0D138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7E72F8AC">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APU管理</w:t>
            </w:r>
          </w:p>
        </w:tc>
        <w:tc>
          <w:tcPr>
            <w:tcW w:w="7938" w:type="dxa"/>
            <w:vAlign w:val="center"/>
          </w:tcPr>
          <w:p w14:paraId="1BBACE81">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1.优化细览图，实现鼠标悬停定位具体某台APU显示概览信息。</w:t>
            </w:r>
          </w:p>
          <w:p w14:paraId="6890F39E">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2.状态监控，优化查询条件。</w:t>
            </w:r>
          </w:p>
          <w:p w14:paraId="1BDEDC8D">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3.增加APU滑耗计算功能，根据SAP中的APU滑油添加记录和APU计量值进行计算，实现与发动机滑耗计算相同的功能。</w:t>
            </w:r>
          </w:p>
          <w:p w14:paraId="4FBFD321">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4.优化APU送修工作范围，例如LLP数据，APU下级件，APU关键部件等。</w:t>
            </w:r>
          </w:p>
        </w:tc>
      </w:tr>
      <w:tr w14:paraId="3AC96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40DDC185">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专项管理</w:t>
            </w:r>
          </w:p>
        </w:tc>
        <w:tc>
          <w:tcPr>
            <w:tcW w:w="7938" w:type="dxa"/>
            <w:vAlign w:val="center"/>
          </w:tcPr>
          <w:p w14:paraId="1655E8FB">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1.专项任务管理，可实现定期循环任务，并预设任务内容。</w:t>
            </w:r>
          </w:p>
          <w:p w14:paraId="78D79A9B">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2.空停信息和事件快报整合，按需提交流程，并可进行短信和邮件通知，并设置分发流程。</w:t>
            </w:r>
          </w:p>
          <w:p w14:paraId="025319B5">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3.机队问题管理，实现链接分享，仅允许授权账号人员访问，分享链接需强制设置密码访问和访问时效。采用富文本，并可实现图片标注。</w:t>
            </w:r>
          </w:p>
          <w:p w14:paraId="490DEFB9">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4.新增附加查询：</w:t>
            </w:r>
          </w:p>
          <w:p w14:paraId="36B2642D">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（1）新增查询某个或某些TASK信息功能，包括TASK的适用性，完成状态，关联工卡的反馈等信息。</w:t>
            </w:r>
          </w:p>
          <w:p w14:paraId="74B9E644">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（2）运行限制查询功能，并可进行分类。</w:t>
            </w:r>
          </w:p>
          <w:p w14:paraId="1AC3A954">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（3）查询某个日期和时刻发动机或部件或LLP的计量值。</w:t>
            </w:r>
          </w:p>
          <w:p w14:paraId="5F43C146">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5.实现周报和月报的功能。</w:t>
            </w:r>
          </w:p>
          <w:p w14:paraId="455A7864">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6.实现预定义模板，实现自动识别修理报告中的数据。</w:t>
            </w:r>
          </w:p>
        </w:tc>
      </w:tr>
      <w:tr w14:paraId="195AA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5B4C8809">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基础数据</w:t>
            </w:r>
          </w:p>
        </w:tc>
        <w:tc>
          <w:tcPr>
            <w:tcW w:w="7938" w:type="dxa"/>
            <w:vAlign w:val="center"/>
          </w:tcPr>
          <w:p w14:paraId="220BA41A">
            <w:pPr>
              <w:widowControl/>
              <w:rPr>
                <w:rFonts w:hint="eastAsia" w:ascii="仿宋_GB2312" w:hAnsi="等线" w:eastAsia="仿宋_GB2312" w:cs="宋体"/>
                <w:color w:val="000000" w:themeColor="text1"/>
                <w:kern w:val="0"/>
                <w:sz w:val="2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增加发动机和APUTSI和CSI的计算，单台发动机和APU详情中，增加发动机和APU状态、厂家监控数据，单元体信息、关键部件和核心部件信息。增加备注和内部备注项目，内部备注项目可进行单独授权查看。</w:t>
            </w:r>
          </w:p>
          <w:p w14:paraId="33A34353">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增加核心部件基础属性定义。</w:t>
            </w:r>
          </w:p>
        </w:tc>
      </w:tr>
      <w:tr w14:paraId="60FA7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restart"/>
            <w:vAlign w:val="center"/>
          </w:tcPr>
          <w:p w14:paraId="456EBB7B">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图片/视频上传和预览功能</w:t>
            </w:r>
          </w:p>
        </w:tc>
        <w:tc>
          <w:tcPr>
            <w:tcW w:w="7938" w:type="dxa"/>
            <w:vAlign w:val="center"/>
          </w:tcPr>
          <w:p w14:paraId="441B28D6">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单机MinIO部署与配置，存储桶与权限配置。</w:t>
            </w:r>
          </w:p>
        </w:tc>
      </w:tr>
      <w:tr w14:paraId="5E7EA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04420085">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731A9979">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迁移工具开发（Java版）及历史FTP全量数据迁移执行。</w:t>
            </w:r>
          </w:p>
        </w:tc>
      </w:tr>
      <w:tr w14:paraId="05941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3C1D8A79">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545615ED">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基础数据一致性校验（Shell+Java）。</w:t>
            </w:r>
          </w:p>
        </w:tc>
      </w:tr>
      <w:tr w14:paraId="28276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1DC41F87">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07FA4B4C">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支持断点续传上传（前端/后端）。</w:t>
            </w:r>
          </w:p>
        </w:tc>
      </w:tr>
      <w:tr w14:paraId="20C4A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Merge w:val="continue"/>
            <w:vAlign w:val="center"/>
          </w:tcPr>
          <w:p w14:paraId="09ADE9B1">
            <w:pPr>
              <w:pStyle w:val="2"/>
              <w:rPr>
                <w:rFonts w:hint="eastAsia" w:ascii="仿宋_GB2312" w:hAnsi="仿宋" w:eastAsia="仿宋_GB2312"/>
                <w:iCs/>
                <w:color w:val="000000" w:themeColor="text1"/>
                <w:sz w:val="32"/>
                <w:szCs w:val="32"/>
                <w14:textFill>
                  <w14:solidFill>
                    <w14:schemeClr w14:val="tx1"/>
                  </w14:solidFill>
                </w14:textFill>
              </w:rPr>
            </w:pPr>
          </w:p>
        </w:tc>
        <w:tc>
          <w:tcPr>
            <w:tcW w:w="7938" w:type="dxa"/>
            <w:vAlign w:val="center"/>
          </w:tcPr>
          <w:p w14:paraId="6FEAE0F2">
            <w:pPr>
              <w:pStyle w:val="2"/>
              <w:rPr>
                <w:rFonts w:hint="eastAsia" w:ascii="仿宋_GB2312" w:hAnsi="仿宋" w:eastAsia="仿宋_GB2312"/>
                <w:iCs/>
                <w:color w:val="000000" w:themeColor="text1"/>
                <w:sz w:val="32"/>
                <w:szCs w:val="32"/>
                <w14:textFill>
                  <w14:solidFill>
                    <w14:schemeClr w14:val="tx1"/>
                  </w14:solidFill>
                </w14:textFill>
              </w:rPr>
            </w:pPr>
            <w:r>
              <w:rPr>
                <w:rFonts w:ascii="仿宋_GB2312" w:hAnsi="等线" w:eastAsia="仿宋_GB2312" w:cs="宋体"/>
                <w:color w:val="000000" w:themeColor="text1"/>
                <w:kern w:val="0"/>
                <w:sz w:val="22"/>
                <w14:textFill>
                  <w14:solidFill>
                    <w14:schemeClr w14:val="tx1"/>
                  </w14:solidFill>
                </w14:textFill>
              </w:rPr>
              <w:t>图片/视频在线预览。</w:t>
            </w:r>
          </w:p>
        </w:tc>
      </w:tr>
    </w:tbl>
    <w:p w14:paraId="33296106">
      <w:pPr>
        <w:spacing w:line="560" w:lineRule="exact"/>
        <w:ind w:firstLine="640" w:firstLineChars="200"/>
        <w:rPr>
          <w:rFonts w:hint="eastAsia" w:ascii="仿宋_GB2312" w:hAnsi="仿宋" w:eastAsia="仿宋_GB2312" w:cs="Calibri"/>
          <w:color w:val="000000" w:themeColor="text1"/>
          <w:kern w:val="0"/>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④</w:t>
      </w:r>
      <w:r>
        <w:rPr>
          <w:rFonts w:hint="eastAsia" w:ascii="仿宋_GB2312" w:hAnsi="仿宋" w:eastAsia="仿宋_GB2312" w:cs="Calibri"/>
          <w:color w:val="000000" w:themeColor="text1"/>
          <w:kern w:val="0"/>
          <w:sz w:val="32"/>
          <w:szCs w:val="32"/>
          <w14:textFill>
            <w14:solidFill>
              <w14:schemeClr w14:val="tx1"/>
            </w14:solidFill>
          </w14:textFill>
        </w:rPr>
        <w:t>项目所需上游系统数据</w:t>
      </w:r>
    </w:p>
    <w:bookmarkEnd w:id="3"/>
    <w:p w14:paraId="557C033D">
      <w:pPr>
        <w:spacing w:line="560" w:lineRule="exact"/>
        <w:ind w:firstLine="640" w:firstLineChars="200"/>
        <w:rPr>
          <w:rFonts w:hint="eastAsia" w:ascii="仿宋_GB2312" w:hAnsi="仿宋" w:eastAsia="仿宋_GB2312" w:cs="Calibri"/>
          <w:color w:val="000000" w:themeColor="text1"/>
          <w:kern w:val="0"/>
          <w:sz w:val="32"/>
          <w:szCs w:val="32"/>
          <w14:textFill>
            <w14:solidFill>
              <w14:schemeClr w14:val="tx1"/>
            </w14:solidFill>
          </w14:textFill>
        </w:rPr>
      </w:pPr>
      <w:r>
        <w:rPr>
          <w:rFonts w:hint="eastAsia" w:ascii="仿宋_GB2312" w:hAnsi="仿宋" w:eastAsia="仿宋_GB2312" w:cs="Calibri"/>
          <w:color w:val="000000" w:themeColor="text1"/>
          <w:kern w:val="0"/>
          <w:sz w:val="32"/>
          <w:szCs w:val="32"/>
          <w14:textFill>
            <w14:solidFill>
              <w14:schemeClr w14:val="tx1"/>
            </w14:solidFill>
          </w14:textFill>
        </w:rPr>
        <w:t>针对航空集团内的系统，对接上游数据采用ODS接入方式。</w:t>
      </w:r>
    </w:p>
    <w:tbl>
      <w:tblPr>
        <w:tblStyle w:val="16"/>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5"/>
        <w:gridCol w:w="2209"/>
        <w:gridCol w:w="1864"/>
        <w:gridCol w:w="1839"/>
        <w:gridCol w:w="1142"/>
      </w:tblGrid>
      <w:tr w14:paraId="19D61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413" w:type="dxa"/>
            <w:vAlign w:val="center"/>
          </w:tcPr>
          <w:p w14:paraId="11950FC2">
            <w:pPr>
              <w:pStyle w:val="2"/>
              <w:rPr>
                <w:rFonts w:ascii="仿宋_GB2312" w:eastAsia="仿宋_GB2312"/>
                <w:color w:val="000000" w:themeColor="text1"/>
                <w14:textFill>
                  <w14:solidFill>
                    <w14:schemeClr w14:val="tx1"/>
                  </w14:solidFill>
                </w14:textFill>
              </w:rPr>
            </w:pPr>
            <w:r>
              <w:rPr>
                <w:rFonts w:ascii="仿宋_GB2312" w:hAnsi="仿宋" w:eastAsia="仿宋_GB2312"/>
                <w:b/>
                <w:bCs/>
                <w:color w:val="000000" w:themeColor="text1"/>
                <w:sz w:val="24"/>
                <w:szCs w:val="24"/>
                <w14:textFill>
                  <w14:solidFill>
                    <w14:schemeClr w14:val="tx1"/>
                  </w14:solidFill>
                </w14:textFill>
              </w:rPr>
              <w:t>数据类别</w:t>
            </w:r>
          </w:p>
        </w:tc>
        <w:tc>
          <w:tcPr>
            <w:tcW w:w="2268" w:type="dxa"/>
            <w:vAlign w:val="center"/>
          </w:tcPr>
          <w:p w14:paraId="1E8A3BBA">
            <w:pPr>
              <w:pStyle w:val="2"/>
              <w:rPr>
                <w:rFonts w:ascii="仿宋_GB2312" w:eastAsia="仿宋_GB2312"/>
                <w:color w:val="000000" w:themeColor="text1"/>
                <w14:textFill>
                  <w14:solidFill>
                    <w14:schemeClr w14:val="tx1"/>
                  </w14:solidFill>
                </w14:textFill>
              </w:rPr>
            </w:pPr>
            <w:r>
              <w:rPr>
                <w:rFonts w:ascii="仿宋_GB2312" w:hAnsi="仿宋" w:eastAsia="仿宋_GB2312"/>
                <w:b/>
                <w:bCs/>
                <w:color w:val="000000" w:themeColor="text1"/>
                <w:sz w:val="24"/>
                <w:szCs w:val="24"/>
                <w14:textFill>
                  <w14:solidFill>
                    <w14:schemeClr w14:val="tx1"/>
                  </w14:solidFill>
                </w14:textFill>
              </w:rPr>
              <w:t>详细业务描述</w:t>
            </w:r>
          </w:p>
        </w:tc>
        <w:tc>
          <w:tcPr>
            <w:tcW w:w="1977" w:type="dxa"/>
            <w:vAlign w:val="center"/>
          </w:tcPr>
          <w:p w14:paraId="38221587">
            <w:pPr>
              <w:pStyle w:val="2"/>
              <w:rPr>
                <w:rFonts w:ascii="仿宋_GB2312" w:eastAsia="仿宋_GB2312"/>
                <w:color w:val="000000" w:themeColor="text1"/>
                <w14:textFill>
                  <w14:solidFill>
                    <w14:schemeClr w14:val="tx1"/>
                  </w14:solidFill>
                </w14:textFill>
              </w:rPr>
            </w:pPr>
            <w:r>
              <w:rPr>
                <w:rFonts w:ascii="仿宋_GB2312" w:hAnsi="仿宋" w:eastAsia="仿宋_GB2312"/>
                <w:b/>
                <w:bCs/>
                <w:color w:val="000000" w:themeColor="text1"/>
                <w:sz w:val="24"/>
                <w:szCs w:val="24"/>
                <w14:textFill>
                  <w14:solidFill>
                    <w14:schemeClr w14:val="tx1"/>
                  </w14:solidFill>
                </w14:textFill>
              </w:rPr>
              <w:t>数据来源</w:t>
            </w:r>
          </w:p>
        </w:tc>
        <w:tc>
          <w:tcPr>
            <w:tcW w:w="1962" w:type="dxa"/>
            <w:vAlign w:val="center"/>
          </w:tcPr>
          <w:p w14:paraId="0EA0B669">
            <w:pPr>
              <w:pStyle w:val="2"/>
              <w:rPr>
                <w:rFonts w:ascii="仿宋_GB2312" w:eastAsia="仿宋_GB2312"/>
                <w:color w:val="000000" w:themeColor="text1"/>
                <w14:textFill>
                  <w14:solidFill>
                    <w14:schemeClr w14:val="tx1"/>
                  </w14:solidFill>
                </w14:textFill>
              </w:rPr>
            </w:pPr>
            <w:r>
              <w:rPr>
                <w:rFonts w:ascii="仿宋_GB2312" w:hAnsi="仿宋" w:eastAsia="仿宋_GB2312"/>
                <w:b/>
                <w:bCs/>
                <w:color w:val="000000" w:themeColor="text1"/>
                <w:sz w:val="24"/>
                <w:szCs w:val="24"/>
                <w14:textFill>
                  <w14:solidFill>
                    <w14:schemeClr w14:val="tx1"/>
                  </w14:solidFill>
                </w14:textFill>
              </w:rPr>
              <w:t>最小颗粒度</w:t>
            </w:r>
          </w:p>
        </w:tc>
        <w:tc>
          <w:tcPr>
            <w:tcW w:w="1164" w:type="dxa"/>
            <w:vAlign w:val="center"/>
          </w:tcPr>
          <w:p w14:paraId="46828FDE">
            <w:pPr>
              <w:pStyle w:val="2"/>
              <w:jc w:val="left"/>
              <w:rPr>
                <w:rFonts w:ascii="仿宋_GB2312" w:eastAsia="仿宋_GB2312"/>
                <w:color w:val="000000" w:themeColor="text1"/>
                <w14:textFill>
                  <w14:solidFill>
                    <w14:schemeClr w14:val="tx1"/>
                  </w14:solidFill>
                </w14:textFill>
              </w:rPr>
            </w:pPr>
            <w:r>
              <w:rPr>
                <w:rFonts w:ascii="仿宋_GB2312" w:hAnsi="仿宋" w:eastAsia="仿宋_GB2312"/>
                <w:b/>
                <w:bCs/>
                <w:color w:val="000000" w:themeColor="text1"/>
                <w:sz w:val="24"/>
                <w:szCs w:val="24"/>
                <w14:textFill>
                  <w14:solidFill>
                    <w14:schemeClr w14:val="tx1"/>
                  </w14:solidFill>
                </w14:textFill>
              </w:rPr>
              <w:t>数据更新频率</w:t>
            </w:r>
          </w:p>
        </w:tc>
      </w:tr>
      <w:tr w14:paraId="7EB02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14:paraId="45C58A6F">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故障维修控制指令详情</w:t>
            </w:r>
          </w:p>
        </w:tc>
        <w:tc>
          <w:tcPr>
            <w:tcW w:w="2268" w:type="dxa"/>
            <w:vAlign w:val="center"/>
          </w:tcPr>
          <w:p w14:paraId="465C9DCA">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获取所有机型机号故障维修控制指令详情</w:t>
            </w:r>
          </w:p>
        </w:tc>
        <w:tc>
          <w:tcPr>
            <w:tcW w:w="1977" w:type="dxa"/>
            <w:vAlign w:val="center"/>
          </w:tcPr>
          <w:p w14:paraId="6A1E2393">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海航技术工程网工作安排或SAP系统</w:t>
            </w:r>
          </w:p>
        </w:tc>
        <w:tc>
          <w:tcPr>
            <w:tcW w:w="1962" w:type="dxa"/>
            <w:vAlign w:val="center"/>
          </w:tcPr>
          <w:p w14:paraId="2147AC66">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以日为单位，按机号维度提供</w:t>
            </w:r>
          </w:p>
        </w:tc>
        <w:tc>
          <w:tcPr>
            <w:tcW w:w="1164" w:type="dxa"/>
            <w:vAlign w:val="center"/>
          </w:tcPr>
          <w:p w14:paraId="55AD9168">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10min/次</w:t>
            </w:r>
          </w:p>
        </w:tc>
      </w:tr>
      <w:tr w14:paraId="54522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14:paraId="45CDEB5B">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DD清单、FC清单、CQ清单、外形可接受清单、运行限制</w:t>
            </w:r>
          </w:p>
        </w:tc>
        <w:tc>
          <w:tcPr>
            <w:tcW w:w="2268" w:type="dxa"/>
            <w:vAlign w:val="center"/>
          </w:tcPr>
          <w:p w14:paraId="07CAD9A7">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获取所有机型机号保留故障“DD/FC/CQ”清单，“运行限制”以及“外形可接受清单”详情信息</w:t>
            </w:r>
          </w:p>
        </w:tc>
        <w:tc>
          <w:tcPr>
            <w:tcW w:w="1977" w:type="dxa"/>
            <w:vAlign w:val="center"/>
          </w:tcPr>
          <w:p w14:paraId="0C0C9C1C">
            <w:pPr>
              <w:rPr>
                <w:rFonts w:hint="eastAsia" w:ascii="仿宋_GB2312" w:hAnsi="仿宋" w:eastAsia="仿宋_GB2312"/>
                <w:color w:val="000000" w:themeColor="text1"/>
                <w:sz w:val="24"/>
                <w:szCs w:val="24"/>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海航技术工程网飞机外形可接受缺陷清单或SAP系统</w:t>
            </w:r>
          </w:p>
        </w:tc>
        <w:tc>
          <w:tcPr>
            <w:tcW w:w="1962" w:type="dxa"/>
            <w:vAlign w:val="center"/>
          </w:tcPr>
          <w:p w14:paraId="5ACD99BD">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以日为单位，按机号维度提供</w:t>
            </w:r>
          </w:p>
        </w:tc>
        <w:tc>
          <w:tcPr>
            <w:tcW w:w="1164" w:type="dxa"/>
            <w:vAlign w:val="center"/>
          </w:tcPr>
          <w:p w14:paraId="1C8FD103">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10min/次</w:t>
            </w:r>
          </w:p>
        </w:tc>
      </w:tr>
      <w:tr w14:paraId="036AB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14:paraId="6DFE99BD">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机队故障详情</w:t>
            </w:r>
          </w:p>
        </w:tc>
        <w:tc>
          <w:tcPr>
            <w:tcW w:w="2268" w:type="dxa"/>
            <w:vAlign w:val="center"/>
          </w:tcPr>
          <w:p w14:paraId="5B5CDD12">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获取所有机型机队手工录入故障详情，且包括故障类别为“AV、ME”和故障状态为“OPEN、OI、CLOSE”的故障汇总信息</w:t>
            </w:r>
          </w:p>
        </w:tc>
        <w:tc>
          <w:tcPr>
            <w:tcW w:w="1977" w:type="dxa"/>
            <w:vAlign w:val="center"/>
          </w:tcPr>
          <w:p w14:paraId="1499EDA8">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海航技术工程网机队状态页面或MOCP系统</w:t>
            </w:r>
          </w:p>
        </w:tc>
        <w:tc>
          <w:tcPr>
            <w:tcW w:w="1962" w:type="dxa"/>
            <w:vAlign w:val="center"/>
          </w:tcPr>
          <w:p w14:paraId="703F1202">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以日为单位，按机号维度提供</w:t>
            </w:r>
          </w:p>
        </w:tc>
        <w:tc>
          <w:tcPr>
            <w:tcW w:w="1164" w:type="dxa"/>
            <w:vAlign w:val="center"/>
          </w:tcPr>
          <w:p w14:paraId="3EA2B79C">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10min/次</w:t>
            </w:r>
          </w:p>
        </w:tc>
      </w:tr>
      <w:tr w14:paraId="3E1BA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14:paraId="2EF8FD51">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发动机、APU、部件的信息</w:t>
            </w:r>
          </w:p>
        </w:tc>
        <w:tc>
          <w:tcPr>
            <w:tcW w:w="2268" w:type="dxa"/>
            <w:vAlign w:val="center"/>
          </w:tcPr>
          <w:p w14:paraId="211AD363">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注明拆换部件统计数据（包括件序号，对应的状态（新件、翻修件）、TSI/TSN FH/CY，MTBUR、MTBUF等关键信息）；发动机磁堵信息，关联拆下件的修理合同号。</w:t>
            </w:r>
          </w:p>
        </w:tc>
        <w:tc>
          <w:tcPr>
            <w:tcW w:w="1977" w:type="dxa"/>
            <w:vAlign w:val="center"/>
          </w:tcPr>
          <w:p w14:paraId="1D2C30F8">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SAP系统</w:t>
            </w:r>
          </w:p>
        </w:tc>
        <w:tc>
          <w:tcPr>
            <w:tcW w:w="1962" w:type="dxa"/>
            <w:vAlign w:val="center"/>
          </w:tcPr>
          <w:p w14:paraId="435F4FD1">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以日为单位，按发动机号维度提供</w:t>
            </w:r>
          </w:p>
        </w:tc>
        <w:tc>
          <w:tcPr>
            <w:tcW w:w="1164" w:type="dxa"/>
            <w:vAlign w:val="center"/>
          </w:tcPr>
          <w:p w14:paraId="3A85E7D5">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实时</w:t>
            </w:r>
          </w:p>
        </w:tc>
      </w:tr>
      <w:tr w14:paraId="3712B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14:paraId="45EB3589">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飞机告警信息</w:t>
            </w:r>
          </w:p>
        </w:tc>
        <w:tc>
          <w:tcPr>
            <w:tcW w:w="2268" w:type="dxa"/>
            <w:vAlign w:val="center"/>
          </w:tcPr>
          <w:p w14:paraId="6B719DF6">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获取飞机故障告警信息</w:t>
            </w:r>
          </w:p>
        </w:tc>
        <w:tc>
          <w:tcPr>
            <w:tcW w:w="1977" w:type="dxa"/>
            <w:vAlign w:val="center"/>
          </w:tcPr>
          <w:p w14:paraId="00C5D45E">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AHM系统</w:t>
            </w:r>
          </w:p>
        </w:tc>
        <w:tc>
          <w:tcPr>
            <w:tcW w:w="1962" w:type="dxa"/>
            <w:vAlign w:val="center"/>
          </w:tcPr>
          <w:p w14:paraId="4070C023">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以日为单位，按发动机号维度提供</w:t>
            </w:r>
          </w:p>
        </w:tc>
        <w:tc>
          <w:tcPr>
            <w:tcW w:w="1164" w:type="dxa"/>
            <w:vAlign w:val="center"/>
          </w:tcPr>
          <w:p w14:paraId="4087DC14">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实时</w:t>
            </w:r>
          </w:p>
        </w:tc>
      </w:tr>
      <w:tr w14:paraId="6D305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14:paraId="63F5A770">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AD/SB评估信息</w:t>
            </w:r>
          </w:p>
        </w:tc>
        <w:tc>
          <w:tcPr>
            <w:tcW w:w="2268" w:type="dxa"/>
            <w:vAlign w:val="center"/>
          </w:tcPr>
          <w:p w14:paraId="6225692C">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获取与发动机相关的AD/SB评估信息</w:t>
            </w:r>
          </w:p>
        </w:tc>
        <w:tc>
          <w:tcPr>
            <w:tcW w:w="1977" w:type="dxa"/>
            <w:vAlign w:val="center"/>
          </w:tcPr>
          <w:p w14:paraId="5040B5FE">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TDMS系统</w:t>
            </w:r>
          </w:p>
        </w:tc>
        <w:tc>
          <w:tcPr>
            <w:tcW w:w="1962" w:type="dxa"/>
            <w:vAlign w:val="center"/>
          </w:tcPr>
          <w:p w14:paraId="5D92B886">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以日为单位，按发动机号维度提供</w:t>
            </w:r>
          </w:p>
        </w:tc>
        <w:tc>
          <w:tcPr>
            <w:tcW w:w="1164" w:type="dxa"/>
            <w:vAlign w:val="center"/>
          </w:tcPr>
          <w:p w14:paraId="60BDD20E">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实时</w:t>
            </w:r>
          </w:p>
        </w:tc>
      </w:tr>
      <w:tr w14:paraId="1AA56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14:paraId="72FC4F75">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下行报文</w:t>
            </w:r>
          </w:p>
        </w:tc>
        <w:tc>
          <w:tcPr>
            <w:tcW w:w="2268" w:type="dxa"/>
            <w:vAlign w:val="center"/>
          </w:tcPr>
          <w:p w14:paraId="5481437F">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接收ACARS链路发送下行报文</w:t>
            </w:r>
          </w:p>
        </w:tc>
        <w:tc>
          <w:tcPr>
            <w:tcW w:w="1977" w:type="dxa"/>
            <w:vAlign w:val="center"/>
          </w:tcPr>
          <w:p w14:paraId="7E07530C">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海航下行报文kafka接口</w:t>
            </w:r>
          </w:p>
        </w:tc>
        <w:tc>
          <w:tcPr>
            <w:tcW w:w="1962" w:type="dxa"/>
            <w:vAlign w:val="center"/>
          </w:tcPr>
          <w:p w14:paraId="7A09F37C">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报文</w:t>
            </w:r>
          </w:p>
        </w:tc>
        <w:tc>
          <w:tcPr>
            <w:tcW w:w="1164" w:type="dxa"/>
            <w:vAlign w:val="center"/>
          </w:tcPr>
          <w:p w14:paraId="6ACECD43">
            <w:pPr>
              <w:pStyle w:val="2"/>
              <w:rPr>
                <w:rFonts w:ascii="仿宋_GB2312" w:eastAsia="仿宋_GB2312"/>
                <w:color w:val="000000" w:themeColor="text1"/>
                <w14:textFill>
                  <w14:solidFill>
                    <w14:schemeClr w14:val="tx1"/>
                  </w14:solidFill>
                </w14:textFill>
              </w:rPr>
            </w:pPr>
            <w:r>
              <w:rPr>
                <w:rFonts w:ascii="仿宋_GB2312" w:hAnsi="仿宋" w:eastAsia="仿宋_GB2312"/>
                <w:color w:val="000000" w:themeColor="text1"/>
                <w:sz w:val="24"/>
                <w:szCs w:val="24"/>
                <w14:textFill>
                  <w14:solidFill>
                    <w14:schemeClr w14:val="tx1"/>
                  </w14:solidFill>
                </w14:textFill>
              </w:rPr>
              <w:t>实时</w:t>
            </w:r>
          </w:p>
        </w:tc>
      </w:tr>
    </w:tbl>
    <w:p w14:paraId="579AE0F0">
      <w:pPr>
        <w:spacing w:line="560" w:lineRule="exact"/>
        <w:ind w:firstLine="640" w:firstLineChars="200"/>
        <w:rPr>
          <w:rFonts w:hint="eastAsia" w:ascii="仿宋_GB2312" w:hAnsi="仿宋" w:eastAsia="仿宋_GB2312" w:cs="仿宋_GB2312"/>
          <w:b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⑤</w:t>
      </w:r>
      <w:r>
        <w:rPr>
          <w:rFonts w:hint="eastAsia" w:ascii="仿宋_GB2312" w:hAnsi="仿宋" w:eastAsia="仿宋_GB2312" w:cs="仿宋_GB2312"/>
          <w:color w:val="000000" w:themeColor="text1"/>
          <w:sz w:val="32"/>
          <w:szCs w:val="32"/>
          <w14:textFill>
            <w14:solidFill>
              <w14:schemeClr w14:val="tx1"/>
            </w14:solidFill>
          </w14:textFill>
        </w:rPr>
        <w:t>数据接口监控方案</w:t>
      </w:r>
    </w:p>
    <w:p w14:paraId="6BB42A0E">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建立数据接口监控指标和策略，根据各个数据接口的具体情况，设定数据接口监控的指标（接口可用性、响应时间、响应状态）以及数据接口监控的策略（定期检测、实时报警等）。</w:t>
      </w:r>
    </w:p>
    <w:p w14:paraId="79BE573D">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根据数据接口监控策略，建立读取数据状态监控任务，对于上游重要数据（发动机运行数据、发动机ACARS报文数据、发动机相关的AD/SB评估数据等）读取进行监控，读取上游数据有两种可能：</w:t>
      </w:r>
    </w:p>
    <w:p w14:paraId="1625BE9E">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读取成功（接口收到成功信息）：将此读取信息记录在对应的读取状态表里，标识状态为成功。</w:t>
      </w:r>
    </w:p>
    <w:p w14:paraId="410E65D3">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读取失败（接口收到失败信息，或者超时未响应）：将此读取信息记录在对应的读取状态表里，标识状态为失败。</w:t>
      </w:r>
    </w:p>
    <w:p w14:paraId="606532DB">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建立读取数据状态的定时任务，对读取状态数据进行分析与监控，跟踪数据接口的变化趋势，发现潜在问题和故障。定时对未读取成功的数据进行补读取，直至读取成功。</w:t>
      </w:r>
    </w:p>
    <w:p w14:paraId="255CE848">
      <w:pPr>
        <w:spacing w:line="560" w:lineRule="exact"/>
        <w:ind w:firstLine="640" w:firstLineChars="200"/>
        <w:rPr>
          <w:rFonts w:ascii="仿宋_GB2312" w:eastAsia="仿宋_GB2312"/>
          <w:color w:val="000000" w:themeColor="text1"/>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建立系统数据接口监控功能，数据接口调用入参和返回参数都有日志记录，做到数据可追溯。对未成功读取的信息进行监控预警，按系统运维人员发送邮件通知，以便及时人为介入处理。同时明确数据接口故障对业务范围的影响，及时通知相关业务人员，避免数据接口故障影响业务工作。</w:t>
      </w:r>
    </w:p>
    <w:p w14:paraId="7847DB22">
      <w:pPr>
        <w:spacing w:line="560" w:lineRule="exact"/>
        <w:ind w:left="64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（4）系统涉及角色和面向的用户群体</w:t>
      </w:r>
    </w:p>
    <w:tbl>
      <w:tblPr>
        <w:tblStyle w:val="16"/>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40"/>
        <w:gridCol w:w="2874"/>
        <w:gridCol w:w="839"/>
        <w:gridCol w:w="838"/>
        <w:gridCol w:w="698"/>
        <w:gridCol w:w="1520"/>
      </w:tblGrid>
      <w:tr w14:paraId="4321B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696" w:type="dxa"/>
            <w:vAlign w:val="center"/>
          </w:tcPr>
          <w:p w14:paraId="77AEA467">
            <w:pPr>
              <w:pStyle w:val="2"/>
              <w:rPr>
                <w:rFonts w:ascii="仿宋_GB2312" w:eastAsia="仿宋_GB2312"/>
                <w:color w:val="000000" w:themeColor="text1"/>
                <w14:textFill>
                  <w14:solidFill>
                    <w14:schemeClr w14:val="tx1"/>
                  </w14:solidFill>
                </w14:textFill>
              </w:rPr>
            </w:pPr>
            <w:r>
              <w:rPr>
                <w:rFonts w:ascii="仿宋_GB2312" w:hAnsi="仿宋" w:eastAsia="仿宋_GB2312"/>
                <w:b/>
                <w:bCs/>
                <w:iCs/>
                <w:color w:val="000000" w:themeColor="text1"/>
                <w:sz w:val="24"/>
                <w:szCs w:val="32"/>
                <w14:textFill>
                  <w14:solidFill>
                    <w14:schemeClr w14:val="tx1"/>
                  </w14:solidFill>
                </w14:textFill>
              </w:rPr>
              <w:t>角色名称</w:t>
            </w:r>
          </w:p>
        </w:tc>
        <w:tc>
          <w:tcPr>
            <w:tcW w:w="2977" w:type="dxa"/>
            <w:vAlign w:val="center"/>
          </w:tcPr>
          <w:p w14:paraId="01E609C5">
            <w:pPr>
              <w:pStyle w:val="2"/>
              <w:rPr>
                <w:rFonts w:ascii="仿宋_GB2312" w:eastAsia="仿宋_GB2312"/>
                <w:color w:val="000000" w:themeColor="text1"/>
                <w14:textFill>
                  <w14:solidFill>
                    <w14:schemeClr w14:val="tx1"/>
                  </w14:solidFill>
                </w14:textFill>
              </w:rPr>
            </w:pPr>
            <w:r>
              <w:rPr>
                <w:rFonts w:ascii="仿宋_GB2312" w:hAnsi="仿宋" w:eastAsia="仿宋_GB2312"/>
                <w:b/>
                <w:bCs/>
                <w:iCs/>
                <w:color w:val="000000" w:themeColor="text1"/>
                <w:sz w:val="24"/>
                <w:szCs w:val="32"/>
                <w14:textFill>
                  <w14:solidFill>
                    <w14:schemeClr w14:val="tx1"/>
                  </w14:solidFill>
                </w14:textFill>
              </w:rPr>
              <w:t>职责描述</w:t>
            </w:r>
          </w:p>
        </w:tc>
        <w:tc>
          <w:tcPr>
            <w:tcW w:w="851" w:type="dxa"/>
            <w:vAlign w:val="center"/>
          </w:tcPr>
          <w:p w14:paraId="711171E7">
            <w:pPr>
              <w:pStyle w:val="2"/>
              <w:rPr>
                <w:rFonts w:ascii="仿宋_GB2312" w:eastAsia="仿宋_GB2312"/>
                <w:color w:val="000000" w:themeColor="text1"/>
                <w14:textFill>
                  <w14:solidFill>
                    <w14:schemeClr w14:val="tx1"/>
                  </w14:solidFill>
                </w14:textFill>
              </w:rPr>
            </w:pPr>
            <w:r>
              <w:rPr>
                <w:rFonts w:ascii="仿宋_GB2312" w:hAnsi="仿宋" w:eastAsia="仿宋_GB2312"/>
                <w:b/>
                <w:bCs/>
                <w:iCs/>
                <w:color w:val="000000" w:themeColor="text1"/>
                <w:sz w:val="24"/>
                <w:szCs w:val="32"/>
                <w14:textFill>
                  <w14:solidFill>
                    <w14:schemeClr w14:val="tx1"/>
                  </w14:solidFill>
                </w14:textFill>
              </w:rPr>
              <w:t>角色人员规模</w:t>
            </w:r>
          </w:p>
        </w:tc>
        <w:tc>
          <w:tcPr>
            <w:tcW w:w="850" w:type="dxa"/>
            <w:vAlign w:val="center"/>
          </w:tcPr>
          <w:p w14:paraId="454B929F">
            <w:pPr>
              <w:pStyle w:val="2"/>
              <w:rPr>
                <w:rFonts w:ascii="仿宋_GB2312" w:eastAsia="仿宋_GB2312"/>
                <w:color w:val="000000" w:themeColor="text1"/>
                <w14:textFill>
                  <w14:solidFill>
                    <w14:schemeClr w14:val="tx1"/>
                  </w14:solidFill>
                </w14:textFill>
              </w:rPr>
            </w:pPr>
            <w:r>
              <w:rPr>
                <w:rFonts w:ascii="仿宋_GB2312" w:hAnsi="仿宋" w:eastAsia="仿宋_GB2312"/>
                <w:b/>
                <w:bCs/>
                <w:iCs/>
                <w:color w:val="000000" w:themeColor="text1"/>
                <w:sz w:val="24"/>
                <w:szCs w:val="32"/>
                <w14:textFill>
                  <w14:solidFill>
                    <w14:schemeClr w14:val="tx1"/>
                  </w14:solidFill>
                </w14:textFill>
              </w:rPr>
              <w:t>开通账号数</w:t>
            </w:r>
          </w:p>
        </w:tc>
        <w:tc>
          <w:tcPr>
            <w:tcW w:w="709" w:type="dxa"/>
            <w:vAlign w:val="center"/>
          </w:tcPr>
          <w:p w14:paraId="7F44B74C">
            <w:pPr>
              <w:pStyle w:val="2"/>
              <w:rPr>
                <w:rFonts w:ascii="仿宋_GB2312" w:eastAsia="仿宋_GB2312"/>
                <w:color w:val="000000" w:themeColor="text1"/>
                <w14:textFill>
                  <w14:solidFill>
                    <w14:schemeClr w14:val="tx1"/>
                  </w14:solidFill>
                </w14:textFill>
              </w:rPr>
            </w:pPr>
            <w:r>
              <w:rPr>
                <w:rFonts w:ascii="仿宋_GB2312" w:hAnsi="仿宋" w:eastAsia="仿宋_GB2312"/>
                <w:b/>
                <w:bCs/>
                <w:iCs/>
                <w:color w:val="000000" w:themeColor="text1"/>
                <w:sz w:val="24"/>
                <w:szCs w:val="32"/>
                <w14:textFill>
                  <w14:solidFill>
                    <w14:schemeClr w14:val="tx1"/>
                  </w14:solidFill>
                </w14:textFill>
              </w:rPr>
              <w:t>使用频率</w:t>
            </w:r>
          </w:p>
        </w:tc>
        <w:tc>
          <w:tcPr>
            <w:tcW w:w="1559" w:type="dxa"/>
            <w:vAlign w:val="center"/>
          </w:tcPr>
          <w:p w14:paraId="0A38E123">
            <w:pPr>
              <w:pStyle w:val="2"/>
              <w:rPr>
                <w:rFonts w:ascii="仿宋_GB2312" w:eastAsia="仿宋_GB2312"/>
                <w:color w:val="000000" w:themeColor="text1"/>
                <w14:textFill>
                  <w14:solidFill>
                    <w14:schemeClr w14:val="tx1"/>
                  </w14:solidFill>
                </w14:textFill>
              </w:rPr>
            </w:pPr>
            <w:r>
              <w:rPr>
                <w:rFonts w:ascii="仿宋_GB2312" w:hAnsi="仿宋" w:eastAsia="仿宋_GB2312"/>
                <w:b/>
                <w:bCs/>
                <w:iCs/>
                <w:color w:val="000000" w:themeColor="text1"/>
                <w:sz w:val="24"/>
                <w:szCs w:val="32"/>
                <w14:textFill>
                  <w14:solidFill>
                    <w14:schemeClr w14:val="tx1"/>
                  </w14:solidFill>
                </w14:textFill>
              </w:rPr>
              <w:t>每日使用量</w:t>
            </w:r>
          </w:p>
        </w:tc>
      </w:tr>
      <w:tr w14:paraId="67294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14:paraId="00B7A08B">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IT系统管理员</w:t>
            </w:r>
          </w:p>
        </w:tc>
        <w:tc>
          <w:tcPr>
            <w:tcW w:w="2977" w:type="dxa"/>
            <w:vAlign w:val="center"/>
          </w:tcPr>
          <w:p w14:paraId="1F969FBB">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对各岗位人员的权限进行配置、执行删除工作</w:t>
            </w:r>
          </w:p>
        </w:tc>
        <w:tc>
          <w:tcPr>
            <w:tcW w:w="851" w:type="dxa"/>
            <w:vAlign w:val="center"/>
          </w:tcPr>
          <w:p w14:paraId="707A9B5A">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6人</w:t>
            </w:r>
          </w:p>
        </w:tc>
        <w:tc>
          <w:tcPr>
            <w:tcW w:w="850" w:type="dxa"/>
            <w:vAlign w:val="center"/>
          </w:tcPr>
          <w:p w14:paraId="2AA6CFE8">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6个</w:t>
            </w:r>
          </w:p>
        </w:tc>
        <w:tc>
          <w:tcPr>
            <w:tcW w:w="709" w:type="dxa"/>
            <w:vAlign w:val="center"/>
          </w:tcPr>
          <w:p w14:paraId="5C82D16B">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经常</w:t>
            </w:r>
          </w:p>
        </w:tc>
        <w:tc>
          <w:tcPr>
            <w:tcW w:w="1559" w:type="dxa"/>
            <w:vAlign w:val="center"/>
          </w:tcPr>
          <w:p w14:paraId="21A8E36B">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&gt;20次每日</w:t>
            </w:r>
          </w:p>
        </w:tc>
      </w:tr>
      <w:tr w14:paraId="56C5A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14:paraId="35D9CA05">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发动机工程师</w:t>
            </w:r>
          </w:p>
        </w:tc>
        <w:tc>
          <w:tcPr>
            <w:tcW w:w="2977" w:type="dxa"/>
            <w:vAlign w:val="center"/>
          </w:tcPr>
          <w:p w14:paraId="7F27DF7B">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负责发动机状态监控、送修、退租等工作</w:t>
            </w:r>
          </w:p>
        </w:tc>
        <w:tc>
          <w:tcPr>
            <w:tcW w:w="851" w:type="dxa"/>
            <w:vAlign w:val="center"/>
          </w:tcPr>
          <w:p w14:paraId="37B55E55">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50人</w:t>
            </w:r>
          </w:p>
        </w:tc>
        <w:tc>
          <w:tcPr>
            <w:tcW w:w="850" w:type="dxa"/>
            <w:vAlign w:val="center"/>
          </w:tcPr>
          <w:p w14:paraId="43F0A50A">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50个</w:t>
            </w:r>
          </w:p>
        </w:tc>
        <w:tc>
          <w:tcPr>
            <w:tcW w:w="709" w:type="dxa"/>
            <w:vAlign w:val="center"/>
          </w:tcPr>
          <w:p w14:paraId="01F85963">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经常</w:t>
            </w:r>
          </w:p>
        </w:tc>
        <w:tc>
          <w:tcPr>
            <w:tcW w:w="1559" w:type="dxa"/>
            <w:vAlign w:val="center"/>
          </w:tcPr>
          <w:p w14:paraId="2F89DBE5">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&gt;200次每日</w:t>
            </w:r>
          </w:p>
        </w:tc>
      </w:tr>
      <w:tr w14:paraId="0FE4C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14:paraId="7842A750">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孔探工程师</w:t>
            </w:r>
          </w:p>
        </w:tc>
        <w:tc>
          <w:tcPr>
            <w:tcW w:w="2977" w:type="dxa"/>
            <w:vAlign w:val="center"/>
          </w:tcPr>
          <w:p w14:paraId="3019AD36">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负责发动机孔探数据的录入</w:t>
            </w:r>
          </w:p>
        </w:tc>
        <w:tc>
          <w:tcPr>
            <w:tcW w:w="851" w:type="dxa"/>
            <w:vAlign w:val="center"/>
          </w:tcPr>
          <w:p w14:paraId="6416C1EA">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100人</w:t>
            </w:r>
          </w:p>
        </w:tc>
        <w:tc>
          <w:tcPr>
            <w:tcW w:w="850" w:type="dxa"/>
            <w:vAlign w:val="center"/>
          </w:tcPr>
          <w:p w14:paraId="581A0AEB">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100个</w:t>
            </w:r>
          </w:p>
        </w:tc>
        <w:tc>
          <w:tcPr>
            <w:tcW w:w="709" w:type="dxa"/>
            <w:vAlign w:val="center"/>
          </w:tcPr>
          <w:p w14:paraId="7A21BC33">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经常</w:t>
            </w:r>
          </w:p>
        </w:tc>
        <w:tc>
          <w:tcPr>
            <w:tcW w:w="1559" w:type="dxa"/>
            <w:vAlign w:val="center"/>
          </w:tcPr>
          <w:p w14:paraId="7B3DE0C4">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&gt;200次每日</w:t>
            </w:r>
          </w:p>
        </w:tc>
      </w:tr>
      <w:tr w14:paraId="58552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14:paraId="562543CD">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技术支援工程师</w:t>
            </w:r>
          </w:p>
        </w:tc>
        <w:tc>
          <w:tcPr>
            <w:tcW w:w="2977" w:type="dxa"/>
            <w:vAlign w:val="center"/>
          </w:tcPr>
          <w:p w14:paraId="6EA6FFB6">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负责发动机状态的监控</w:t>
            </w:r>
          </w:p>
        </w:tc>
        <w:tc>
          <w:tcPr>
            <w:tcW w:w="851" w:type="dxa"/>
            <w:vAlign w:val="center"/>
          </w:tcPr>
          <w:p w14:paraId="17ACED12">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100人</w:t>
            </w:r>
          </w:p>
        </w:tc>
        <w:tc>
          <w:tcPr>
            <w:tcW w:w="850" w:type="dxa"/>
            <w:vAlign w:val="center"/>
          </w:tcPr>
          <w:p w14:paraId="600F7A11">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100个</w:t>
            </w:r>
          </w:p>
        </w:tc>
        <w:tc>
          <w:tcPr>
            <w:tcW w:w="709" w:type="dxa"/>
            <w:vAlign w:val="center"/>
          </w:tcPr>
          <w:p w14:paraId="4CCAD6A9">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经常</w:t>
            </w:r>
          </w:p>
        </w:tc>
        <w:tc>
          <w:tcPr>
            <w:tcW w:w="1559" w:type="dxa"/>
            <w:vAlign w:val="center"/>
          </w:tcPr>
          <w:p w14:paraId="1C99EE3C">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&gt;100次每日</w:t>
            </w:r>
          </w:p>
        </w:tc>
      </w:tr>
      <w:tr w14:paraId="23B23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14:paraId="561E169C">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各航司维修工程部</w:t>
            </w:r>
          </w:p>
        </w:tc>
        <w:tc>
          <w:tcPr>
            <w:tcW w:w="2977" w:type="dxa"/>
            <w:vAlign w:val="center"/>
          </w:tcPr>
          <w:p w14:paraId="5B563BE2">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查看航司自有发动机的运营状态和运行履历等</w:t>
            </w:r>
          </w:p>
        </w:tc>
        <w:tc>
          <w:tcPr>
            <w:tcW w:w="851" w:type="dxa"/>
            <w:vAlign w:val="center"/>
          </w:tcPr>
          <w:p w14:paraId="16442572">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50人</w:t>
            </w:r>
          </w:p>
        </w:tc>
        <w:tc>
          <w:tcPr>
            <w:tcW w:w="850" w:type="dxa"/>
            <w:vAlign w:val="center"/>
          </w:tcPr>
          <w:p w14:paraId="4F5D3FCF">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50个</w:t>
            </w:r>
          </w:p>
        </w:tc>
        <w:tc>
          <w:tcPr>
            <w:tcW w:w="709" w:type="dxa"/>
            <w:vAlign w:val="center"/>
          </w:tcPr>
          <w:p w14:paraId="4765C748">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偶尔</w:t>
            </w:r>
          </w:p>
        </w:tc>
        <w:tc>
          <w:tcPr>
            <w:tcW w:w="1559" w:type="dxa"/>
            <w:vAlign w:val="center"/>
          </w:tcPr>
          <w:p w14:paraId="269B0241">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&gt;100次每日</w:t>
            </w:r>
          </w:p>
        </w:tc>
      </w:tr>
      <w:tr w14:paraId="5C0BE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14:paraId="07DDC3FE">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公司领导</w:t>
            </w:r>
          </w:p>
        </w:tc>
        <w:tc>
          <w:tcPr>
            <w:tcW w:w="2977" w:type="dxa"/>
            <w:vAlign w:val="center"/>
          </w:tcPr>
          <w:p w14:paraId="61B4A2B1">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查看航司自有发动机的运营状态和运行履历等</w:t>
            </w:r>
          </w:p>
        </w:tc>
        <w:tc>
          <w:tcPr>
            <w:tcW w:w="851" w:type="dxa"/>
            <w:vAlign w:val="center"/>
          </w:tcPr>
          <w:p w14:paraId="69D23BB6">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15人</w:t>
            </w:r>
          </w:p>
        </w:tc>
        <w:tc>
          <w:tcPr>
            <w:tcW w:w="850" w:type="dxa"/>
            <w:vAlign w:val="center"/>
          </w:tcPr>
          <w:p w14:paraId="4149A609">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15个</w:t>
            </w:r>
          </w:p>
        </w:tc>
        <w:tc>
          <w:tcPr>
            <w:tcW w:w="709" w:type="dxa"/>
            <w:vAlign w:val="center"/>
          </w:tcPr>
          <w:p w14:paraId="417376D8">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偶尔</w:t>
            </w:r>
          </w:p>
        </w:tc>
        <w:tc>
          <w:tcPr>
            <w:tcW w:w="1559" w:type="dxa"/>
            <w:vAlign w:val="center"/>
          </w:tcPr>
          <w:p w14:paraId="05A31291">
            <w:pPr>
              <w:pStyle w:val="2"/>
              <w:rPr>
                <w:rFonts w:ascii="仿宋_GB2312" w:eastAsia="仿宋_GB2312"/>
                <w:color w:val="000000" w:themeColor="text1"/>
                <w14:textFill>
                  <w14:solidFill>
                    <w14:schemeClr w14:val="tx1"/>
                  </w14:solidFill>
                </w14:textFill>
              </w:rPr>
            </w:pPr>
            <w:bookmarkStart w:id="4" w:name="_GoBack"/>
            <w:r>
              <w:rPr>
                <w:rFonts w:ascii="仿宋_GB2312" w:hAnsi="仿宋" w:eastAsia="仿宋_GB2312"/>
                <w:iCs/>
                <w:color w:val="000000" w:themeColor="text1"/>
                <w:sz w:val="24"/>
                <w:szCs w:val="24"/>
                <w14:textFill>
                  <w14:solidFill>
                    <w14:schemeClr w14:val="tx1"/>
                  </w14:solidFill>
                </w14:textFill>
              </w:rPr>
              <w:t>&gt;</w:t>
            </w:r>
            <w:bookmarkEnd w:id="4"/>
            <w:r>
              <w:rPr>
                <w:rFonts w:ascii="仿宋_GB2312" w:hAnsi="仿宋" w:eastAsia="仿宋_GB2312"/>
                <w:iCs/>
                <w:color w:val="000000" w:themeColor="text1"/>
                <w:sz w:val="24"/>
                <w:szCs w:val="24"/>
                <w14:textFill>
                  <w14:solidFill>
                    <w14:schemeClr w14:val="tx1"/>
                  </w14:solidFill>
                </w14:textFill>
              </w:rPr>
              <w:t>10次每日</w:t>
            </w:r>
          </w:p>
        </w:tc>
      </w:tr>
    </w:tbl>
    <w:p w14:paraId="5089B55E">
      <w:pPr>
        <w:spacing w:line="560" w:lineRule="exact"/>
        <w:ind w:left="64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（5）非功能性需求</w:t>
      </w:r>
    </w:p>
    <w:p w14:paraId="4DFFB901">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①软件环境需求</w:t>
      </w:r>
    </w:p>
    <w:tbl>
      <w:tblPr>
        <w:tblStyle w:val="16"/>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8"/>
        <w:gridCol w:w="6201"/>
      </w:tblGrid>
      <w:tr w14:paraId="3BDDD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263" w:type="dxa"/>
            <w:vAlign w:val="center"/>
          </w:tcPr>
          <w:p w14:paraId="66693DBE">
            <w:pPr>
              <w:pStyle w:val="2"/>
              <w:rPr>
                <w:rFonts w:ascii="仿宋_GB2312" w:eastAsia="仿宋_GB2312"/>
                <w:color w:val="000000" w:themeColor="text1"/>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需求名称</w:t>
            </w:r>
          </w:p>
        </w:tc>
        <w:tc>
          <w:tcPr>
            <w:tcW w:w="6379" w:type="dxa"/>
            <w:vAlign w:val="center"/>
          </w:tcPr>
          <w:p w14:paraId="6E728ED1">
            <w:pPr>
              <w:pStyle w:val="2"/>
              <w:rPr>
                <w:rFonts w:ascii="仿宋_GB2312" w:eastAsia="仿宋_GB2312"/>
                <w:color w:val="000000" w:themeColor="text1"/>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详细要求</w:t>
            </w:r>
          </w:p>
        </w:tc>
      </w:tr>
      <w:tr w14:paraId="78FC9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49A39CCE">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14:textFill>
                  <w14:solidFill>
                    <w14:schemeClr w14:val="tx1"/>
                  </w14:solidFill>
                </w14:textFill>
              </w:rPr>
              <w:t>浏览器</w:t>
            </w:r>
          </w:p>
        </w:tc>
        <w:tc>
          <w:tcPr>
            <w:tcW w:w="6379" w:type="dxa"/>
            <w:vAlign w:val="center"/>
          </w:tcPr>
          <w:p w14:paraId="24C37217">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支持IE8.0及以上各个版本、Firefox和Chrome等三种主流浏览器。</w:t>
            </w:r>
          </w:p>
        </w:tc>
      </w:tr>
      <w:tr w14:paraId="07F1B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0DE15C23">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14:textFill>
                  <w14:solidFill>
                    <w14:schemeClr w14:val="tx1"/>
                  </w14:solidFill>
                </w14:textFill>
              </w:rPr>
              <w:t>分辨率</w:t>
            </w:r>
          </w:p>
        </w:tc>
        <w:tc>
          <w:tcPr>
            <w:tcW w:w="6379" w:type="dxa"/>
            <w:vAlign w:val="center"/>
          </w:tcPr>
          <w:p w14:paraId="19986F47">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要求自适应分辨率，满足主流分辨率有理想效果前提下，</w:t>
            </w:r>
            <w:r>
              <w:rPr>
                <w:rFonts w:hint="eastAsia" w:ascii="仿宋_GB2312" w:hAnsi="仿宋" w:eastAsia="仿宋_GB2312"/>
                <w:iCs/>
                <w:color w:val="000000" w:themeColor="text1"/>
                <w:sz w:val="24"/>
                <w:szCs w:val="24"/>
                <w:lang w:eastAsia="zh-CN"/>
                <w14:textFill>
                  <w14:solidFill>
                    <w14:schemeClr w14:val="tx1"/>
                  </w14:solidFill>
                </w14:textFill>
              </w:rPr>
              <w:t>其他</w:t>
            </w:r>
            <w:r>
              <w:rPr>
                <w:rFonts w:ascii="仿宋_GB2312" w:hAnsi="仿宋" w:eastAsia="仿宋_GB2312"/>
                <w:iCs/>
                <w:color w:val="000000" w:themeColor="text1"/>
                <w:sz w:val="24"/>
                <w:szCs w:val="24"/>
                <w14:textFill>
                  <w14:solidFill>
                    <w14:schemeClr w14:val="tx1"/>
                  </w14:solidFill>
                </w14:textFill>
              </w:rPr>
              <w:t>分辨率下要有较好的视觉效果。</w:t>
            </w:r>
          </w:p>
        </w:tc>
      </w:tr>
      <w:tr w14:paraId="65F8B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5E45FD6B">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14:textFill>
                  <w14:solidFill>
                    <w14:schemeClr w14:val="tx1"/>
                  </w14:solidFill>
                </w14:textFill>
              </w:rPr>
              <w:t>业务数据库</w:t>
            </w:r>
          </w:p>
        </w:tc>
        <w:tc>
          <w:tcPr>
            <w:tcW w:w="6379" w:type="dxa"/>
            <w:vAlign w:val="center"/>
          </w:tcPr>
          <w:p w14:paraId="3E17C8CA">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使用开源或商用数据库的主流稳定版本且该版本必须在官方支持范围之内，比如MySQL8.0以上版本或者Oracle11g以上版本。</w:t>
            </w:r>
          </w:p>
          <w:p w14:paraId="317EBBD5">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建议优先使用开源数据库，数据库选用需要由IT技术专家评估再定。</w:t>
            </w:r>
          </w:p>
        </w:tc>
      </w:tr>
      <w:tr w14:paraId="771D0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122C2E40">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14:textFill>
                  <w14:solidFill>
                    <w14:schemeClr w14:val="tx1"/>
                  </w14:solidFill>
                </w14:textFill>
              </w:rPr>
              <w:t>分析数据库</w:t>
            </w:r>
            <w:r>
              <w:rPr>
                <w:rFonts w:ascii="仿宋_GB2312" w:hAnsi="仿宋" w:eastAsia="仿宋_GB2312"/>
                <w:iCs/>
                <w:color w:val="000000" w:themeColor="text1"/>
                <w:sz w:val="24"/>
                <w:szCs w:val="24"/>
                <w14:textFill>
                  <w14:solidFill>
                    <w14:schemeClr w14:val="tx1"/>
                  </w14:solidFill>
                </w14:textFill>
              </w:rPr>
              <w:t>（使用已有数据平台资源）</w:t>
            </w:r>
          </w:p>
        </w:tc>
        <w:tc>
          <w:tcPr>
            <w:tcW w:w="6379" w:type="dxa"/>
            <w:vAlign w:val="center"/>
          </w:tcPr>
          <w:p w14:paraId="43F708E5">
            <w:pPr>
              <w:pStyle w:val="2"/>
              <w:rPr>
                <w:rFonts w:ascii="仿宋_GB2312" w:eastAsia="仿宋_GB2312"/>
                <w:color w:val="000000" w:themeColor="text1"/>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使用开源或商用数据库的主流稳定版本且该版本必须在官方支持范围之内，比如doris2.0以上版本。</w:t>
            </w:r>
          </w:p>
        </w:tc>
      </w:tr>
    </w:tbl>
    <w:p w14:paraId="2F0E86FF">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②硬件环境需求</w:t>
      </w:r>
    </w:p>
    <w:p w14:paraId="5B5DB57C">
      <w:pPr>
        <w:pStyle w:val="2"/>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沿用一期硬件设备。</w:t>
      </w:r>
    </w:p>
    <w:tbl>
      <w:tblPr>
        <w:tblStyle w:val="16"/>
        <w:tblW w:w="864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46"/>
        <w:gridCol w:w="1674"/>
        <w:gridCol w:w="939"/>
        <w:gridCol w:w="819"/>
        <w:gridCol w:w="852"/>
        <w:gridCol w:w="853"/>
        <w:gridCol w:w="1559"/>
      </w:tblGrid>
      <w:tr w14:paraId="0F94C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946" w:type="dxa"/>
            <w:noWrap/>
            <w:vAlign w:val="center"/>
          </w:tcPr>
          <w:p w14:paraId="35082F83">
            <w:pPr>
              <w:rPr>
                <w:rFonts w:hint="eastAsia" w:ascii="仿宋_GB2312" w:hAnsi="仿宋" w:eastAsia="仿宋_GB2312"/>
                <w:b/>
                <w:bCs/>
                <w:iCs/>
                <w:color w:val="000000" w:themeColor="text1"/>
                <w:sz w:val="24"/>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资源名称</w:t>
            </w:r>
          </w:p>
        </w:tc>
        <w:tc>
          <w:tcPr>
            <w:tcW w:w="1674" w:type="dxa"/>
            <w:noWrap/>
            <w:vAlign w:val="center"/>
          </w:tcPr>
          <w:p w14:paraId="161389C9">
            <w:pPr>
              <w:rPr>
                <w:rFonts w:hint="eastAsia" w:ascii="仿宋_GB2312" w:hAnsi="仿宋" w:eastAsia="仿宋_GB2312"/>
                <w:b/>
                <w:bCs/>
                <w:iCs/>
                <w:color w:val="000000" w:themeColor="text1"/>
                <w:sz w:val="24"/>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服务名称</w:t>
            </w:r>
          </w:p>
        </w:tc>
        <w:tc>
          <w:tcPr>
            <w:tcW w:w="939" w:type="dxa"/>
            <w:vAlign w:val="center"/>
          </w:tcPr>
          <w:p w14:paraId="0699ABA8">
            <w:pPr>
              <w:rPr>
                <w:rFonts w:hint="eastAsia" w:ascii="仿宋_GB2312" w:hAnsi="仿宋" w:eastAsia="仿宋_GB2312"/>
                <w:b/>
                <w:bCs/>
                <w:iCs/>
                <w:color w:val="000000" w:themeColor="text1"/>
                <w:sz w:val="24"/>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VCPU（核）</w:t>
            </w:r>
          </w:p>
        </w:tc>
        <w:tc>
          <w:tcPr>
            <w:tcW w:w="819" w:type="dxa"/>
            <w:vAlign w:val="center"/>
          </w:tcPr>
          <w:p w14:paraId="505AF205">
            <w:pPr>
              <w:rPr>
                <w:rFonts w:hint="eastAsia" w:ascii="仿宋_GB2312" w:hAnsi="仿宋" w:eastAsia="仿宋_GB2312"/>
                <w:b/>
                <w:bCs/>
                <w:iCs/>
                <w:color w:val="000000" w:themeColor="text1"/>
                <w:sz w:val="24"/>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内存（G）</w:t>
            </w:r>
          </w:p>
        </w:tc>
        <w:tc>
          <w:tcPr>
            <w:tcW w:w="852" w:type="dxa"/>
            <w:vAlign w:val="center"/>
          </w:tcPr>
          <w:p w14:paraId="4C03872D">
            <w:pPr>
              <w:rPr>
                <w:rFonts w:hint="eastAsia" w:ascii="仿宋_GB2312" w:hAnsi="仿宋" w:eastAsia="仿宋_GB2312"/>
                <w:b/>
                <w:bCs/>
                <w:iCs/>
                <w:color w:val="000000" w:themeColor="text1"/>
                <w:sz w:val="24"/>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系统盘（G）</w:t>
            </w:r>
          </w:p>
        </w:tc>
        <w:tc>
          <w:tcPr>
            <w:tcW w:w="853" w:type="dxa"/>
            <w:vAlign w:val="center"/>
          </w:tcPr>
          <w:p w14:paraId="3E65AFA0">
            <w:pPr>
              <w:rPr>
                <w:rFonts w:hint="eastAsia" w:ascii="仿宋_GB2312" w:hAnsi="仿宋" w:eastAsia="仿宋_GB2312"/>
                <w:b/>
                <w:bCs/>
                <w:iCs/>
                <w:color w:val="000000" w:themeColor="text1"/>
                <w:sz w:val="24"/>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数据盘（G）</w:t>
            </w:r>
          </w:p>
        </w:tc>
        <w:tc>
          <w:tcPr>
            <w:tcW w:w="1559" w:type="dxa"/>
            <w:vAlign w:val="center"/>
          </w:tcPr>
          <w:p w14:paraId="5E0F64A4">
            <w:pPr>
              <w:rPr>
                <w:rFonts w:hint="eastAsia" w:ascii="仿宋_GB2312" w:hAnsi="仿宋" w:eastAsia="仿宋_GB2312"/>
                <w:b/>
                <w:bCs/>
                <w:iCs/>
                <w:color w:val="000000" w:themeColor="text1"/>
                <w:sz w:val="24"/>
                <w14:textFill>
                  <w14:solidFill>
                    <w14:schemeClr w14:val="tx1"/>
                  </w14:solidFill>
                </w14:textFill>
              </w:rPr>
            </w:pPr>
            <w:r>
              <w:rPr>
                <w:rFonts w:ascii="仿宋_GB2312" w:hAnsi="仿宋" w:eastAsia="仿宋_GB2312"/>
                <w:b/>
                <w:bCs/>
                <w:iCs/>
                <w:color w:val="000000" w:themeColor="text1"/>
                <w:sz w:val="24"/>
                <w14:textFill>
                  <w14:solidFill>
                    <w14:schemeClr w14:val="tx1"/>
                  </w14:solidFill>
                </w14:textFill>
              </w:rPr>
              <w:t>操作系统</w:t>
            </w:r>
          </w:p>
        </w:tc>
      </w:tr>
      <w:tr w14:paraId="0E058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1946" w:type="dxa"/>
            <w:vMerge w:val="restart"/>
            <w:vAlign w:val="center"/>
          </w:tcPr>
          <w:p w14:paraId="59B2ED32">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业务服务器</w:t>
            </w:r>
          </w:p>
        </w:tc>
        <w:tc>
          <w:tcPr>
            <w:tcW w:w="1674" w:type="dxa"/>
            <w:vAlign w:val="center"/>
          </w:tcPr>
          <w:p w14:paraId="40428024">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后台业务服务</w:t>
            </w:r>
          </w:p>
        </w:tc>
        <w:tc>
          <w:tcPr>
            <w:tcW w:w="939" w:type="dxa"/>
            <w:noWrap/>
            <w:vAlign w:val="center"/>
          </w:tcPr>
          <w:p w14:paraId="523AAAE9">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16</w:t>
            </w:r>
          </w:p>
        </w:tc>
        <w:tc>
          <w:tcPr>
            <w:tcW w:w="819" w:type="dxa"/>
            <w:noWrap/>
            <w:vAlign w:val="center"/>
          </w:tcPr>
          <w:p w14:paraId="2FBB9193">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32</w:t>
            </w:r>
          </w:p>
        </w:tc>
        <w:tc>
          <w:tcPr>
            <w:tcW w:w="852" w:type="dxa"/>
            <w:noWrap/>
            <w:vAlign w:val="center"/>
          </w:tcPr>
          <w:p w14:paraId="49CC8194">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40</w:t>
            </w:r>
          </w:p>
        </w:tc>
        <w:tc>
          <w:tcPr>
            <w:tcW w:w="853" w:type="dxa"/>
            <w:noWrap/>
            <w:vAlign w:val="center"/>
          </w:tcPr>
          <w:p w14:paraId="4593E80D">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100</w:t>
            </w:r>
          </w:p>
        </w:tc>
        <w:tc>
          <w:tcPr>
            <w:tcW w:w="1559" w:type="dxa"/>
            <w:noWrap/>
            <w:vAlign w:val="center"/>
          </w:tcPr>
          <w:p w14:paraId="563A1A08">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centos7.9</w:t>
            </w:r>
          </w:p>
        </w:tc>
      </w:tr>
      <w:tr w14:paraId="5C8D2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1946" w:type="dxa"/>
            <w:vMerge w:val="continue"/>
            <w:vAlign w:val="center"/>
          </w:tcPr>
          <w:p w14:paraId="042133F5">
            <w:pPr>
              <w:widowControl/>
              <w:rPr>
                <w:rFonts w:hint="eastAsia" w:ascii="仿宋_GB2312" w:hAnsi="仿宋" w:eastAsia="仿宋_GB2312"/>
                <w:iCs/>
                <w:color w:val="000000" w:themeColor="text1"/>
                <w:sz w:val="24"/>
                <w:szCs w:val="24"/>
                <w14:textFill>
                  <w14:solidFill>
                    <w14:schemeClr w14:val="tx1"/>
                  </w14:solidFill>
                </w14:textFill>
              </w:rPr>
            </w:pPr>
          </w:p>
        </w:tc>
        <w:tc>
          <w:tcPr>
            <w:tcW w:w="1674" w:type="dxa"/>
            <w:vAlign w:val="center"/>
          </w:tcPr>
          <w:p w14:paraId="08D30138">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JOB服务</w:t>
            </w:r>
          </w:p>
        </w:tc>
        <w:tc>
          <w:tcPr>
            <w:tcW w:w="939" w:type="dxa"/>
            <w:noWrap/>
            <w:vAlign w:val="center"/>
          </w:tcPr>
          <w:p w14:paraId="21E27233">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16</w:t>
            </w:r>
          </w:p>
        </w:tc>
        <w:tc>
          <w:tcPr>
            <w:tcW w:w="819" w:type="dxa"/>
            <w:noWrap/>
            <w:vAlign w:val="center"/>
          </w:tcPr>
          <w:p w14:paraId="0743D27E">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32</w:t>
            </w:r>
          </w:p>
        </w:tc>
        <w:tc>
          <w:tcPr>
            <w:tcW w:w="852" w:type="dxa"/>
            <w:noWrap/>
            <w:vAlign w:val="center"/>
          </w:tcPr>
          <w:p w14:paraId="4FEED595">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40</w:t>
            </w:r>
          </w:p>
        </w:tc>
        <w:tc>
          <w:tcPr>
            <w:tcW w:w="853" w:type="dxa"/>
            <w:noWrap/>
            <w:vAlign w:val="center"/>
          </w:tcPr>
          <w:p w14:paraId="18849C9C">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100</w:t>
            </w:r>
          </w:p>
        </w:tc>
        <w:tc>
          <w:tcPr>
            <w:tcW w:w="1559" w:type="dxa"/>
            <w:noWrap/>
            <w:vAlign w:val="center"/>
          </w:tcPr>
          <w:p w14:paraId="3278BA3B">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centos7.9</w:t>
            </w:r>
          </w:p>
        </w:tc>
      </w:tr>
      <w:tr w14:paraId="48789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1946" w:type="dxa"/>
            <w:vMerge w:val="continue"/>
            <w:vAlign w:val="center"/>
          </w:tcPr>
          <w:p w14:paraId="2F1ECB59">
            <w:pPr>
              <w:widowControl/>
              <w:rPr>
                <w:rFonts w:hint="eastAsia" w:ascii="仿宋_GB2312" w:hAnsi="仿宋" w:eastAsia="仿宋_GB2312"/>
                <w:iCs/>
                <w:color w:val="000000" w:themeColor="text1"/>
                <w:sz w:val="24"/>
                <w:szCs w:val="24"/>
                <w14:textFill>
                  <w14:solidFill>
                    <w14:schemeClr w14:val="tx1"/>
                  </w14:solidFill>
                </w14:textFill>
              </w:rPr>
            </w:pPr>
          </w:p>
        </w:tc>
        <w:tc>
          <w:tcPr>
            <w:tcW w:w="1674" w:type="dxa"/>
            <w:vAlign w:val="center"/>
          </w:tcPr>
          <w:p w14:paraId="4B6BEC53">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接口接入和提供服务</w:t>
            </w:r>
          </w:p>
        </w:tc>
        <w:tc>
          <w:tcPr>
            <w:tcW w:w="939" w:type="dxa"/>
            <w:noWrap/>
            <w:vAlign w:val="center"/>
          </w:tcPr>
          <w:p w14:paraId="06560193">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8</w:t>
            </w:r>
          </w:p>
        </w:tc>
        <w:tc>
          <w:tcPr>
            <w:tcW w:w="819" w:type="dxa"/>
            <w:noWrap/>
            <w:vAlign w:val="center"/>
          </w:tcPr>
          <w:p w14:paraId="2C871A94">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32</w:t>
            </w:r>
          </w:p>
        </w:tc>
        <w:tc>
          <w:tcPr>
            <w:tcW w:w="852" w:type="dxa"/>
            <w:noWrap/>
            <w:vAlign w:val="center"/>
          </w:tcPr>
          <w:p w14:paraId="56135FC1">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40</w:t>
            </w:r>
          </w:p>
        </w:tc>
        <w:tc>
          <w:tcPr>
            <w:tcW w:w="853" w:type="dxa"/>
            <w:noWrap/>
            <w:vAlign w:val="center"/>
          </w:tcPr>
          <w:p w14:paraId="404D4D99">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100</w:t>
            </w:r>
          </w:p>
        </w:tc>
        <w:tc>
          <w:tcPr>
            <w:tcW w:w="1559" w:type="dxa"/>
            <w:noWrap/>
            <w:vAlign w:val="center"/>
          </w:tcPr>
          <w:p w14:paraId="70A6C24B">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centos7.9</w:t>
            </w:r>
          </w:p>
        </w:tc>
      </w:tr>
      <w:tr w14:paraId="1EF50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1946" w:type="dxa"/>
            <w:vAlign w:val="center"/>
          </w:tcPr>
          <w:p w14:paraId="5645B503">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业务数据库服务器</w:t>
            </w:r>
          </w:p>
        </w:tc>
        <w:tc>
          <w:tcPr>
            <w:tcW w:w="1674" w:type="dxa"/>
            <w:vAlign w:val="center"/>
          </w:tcPr>
          <w:p w14:paraId="4B3E12A6">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mysql数据库</w:t>
            </w:r>
          </w:p>
        </w:tc>
        <w:tc>
          <w:tcPr>
            <w:tcW w:w="939" w:type="dxa"/>
            <w:noWrap/>
            <w:vAlign w:val="center"/>
          </w:tcPr>
          <w:p w14:paraId="275E4CFD">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8</w:t>
            </w:r>
          </w:p>
        </w:tc>
        <w:tc>
          <w:tcPr>
            <w:tcW w:w="819" w:type="dxa"/>
            <w:noWrap/>
            <w:vAlign w:val="center"/>
          </w:tcPr>
          <w:p w14:paraId="67BC41DA">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32</w:t>
            </w:r>
          </w:p>
        </w:tc>
        <w:tc>
          <w:tcPr>
            <w:tcW w:w="852" w:type="dxa"/>
            <w:noWrap/>
            <w:vAlign w:val="center"/>
          </w:tcPr>
          <w:p w14:paraId="3C372E06">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40</w:t>
            </w:r>
          </w:p>
        </w:tc>
        <w:tc>
          <w:tcPr>
            <w:tcW w:w="853" w:type="dxa"/>
            <w:noWrap/>
            <w:vAlign w:val="center"/>
          </w:tcPr>
          <w:p w14:paraId="2BED7040">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300</w:t>
            </w:r>
          </w:p>
        </w:tc>
        <w:tc>
          <w:tcPr>
            <w:tcW w:w="1559" w:type="dxa"/>
            <w:noWrap/>
            <w:vAlign w:val="center"/>
          </w:tcPr>
          <w:p w14:paraId="4EF81972">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centos7.9</w:t>
            </w:r>
          </w:p>
        </w:tc>
      </w:tr>
      <w:tr w14:paraId="239B6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1946" w:type="dxa"/>
            <w:vAlign w:val="center"/>
          </w:tcPr>
          <w:p w14:paraId="3A2F5216">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分析数据库服务器（使用已有数据平台资源）</w:t>
            </w:r>
          </w:p>
        </w:tc>
        <w:tc>
          <w:tcPr>
            <w:tcW w:w="1674" w:type="dxa"/>
            <w:vAlign w:val="center"/>
          </w:tcPr>
          <w:p w14:paraId="446CE45E">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Doris数据库</w:t>
            </w:r>
          </w:p>
        </w:tc>
        <w:tc>
          <w:tcPr>
            <w:tcW w:w="939" w:type="dxa"/>
            <w:noWrap/>
            <w:vAlign w:val="center"/>
          </w:tcPr>
          <w:p w14:paraId="2081C3D7">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8</w:t>
            </w:r>
          </w:p>
        </w:tc>
        <w:tc>
          <w:tcPr>
            <w:tcW w:w="819" w:type="dxa"/>
            <w:noWrap/>
            <w:vAlign w:val="center"/>
          </w:tcPr>
          <w:p w14:paraId="2D42D2D8">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32</w:t>
            </w:r>
          </w:p>
        </w:tc>
        <w:tc>
          <w:tcPr>
            <w:tcW w:w="852" w:type="dxa"/>
            <w:noWrap/>
            <w:vAlign w:val="center"/>
          </w:tcPr>
          <w:p w14:paraId="779F63BC">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40</w:t>
            </w:r>
          </w:p>
        </w:tc>
        <w:tc>
          <w:tcPr>
            <w:tcW w:w="853" w:type="dxa"/>
            <w:noWrap/>
            <w:vAlign w:val="center"/>
          </w:tcPr>
          <w:p w14:paraId="38C21723">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500</w:t>
            </w:r>
          </w:p>
        </w:tc>
        <w:tc>
          <w:tcPr>
            <w:tcW w:w="1559" w:type="dxa"/>
            <w:noWrap/>
            <w:vAlign w:val="center"/>
          </w:tcPr>
          <w:p w14:paraId="08FE6CAA">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Ubuntu24.04 LTS</w:t>
            </w:r>
          </w:p>
        </w:tc>
      </w:tr>
      <w:tr w14:paraId="0A2E3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1946" w:type="dxa"/>
            <w:vAlign w:val="center"/>
          </w:tcPr>
          <w:p w14:paraId="1C910F6D">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视频流媒体服务器</w:t>
            </w:r>
          </w:p>
        </w:tc>
        <w:tc>
          <w:tcPr>
            <w:tcW w:w="1674" w:type="dxa"/>
            <w:vAlign w:val="center"/>
          </w:tcPr>
          <w:p w14:paraId="04099AB9">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视频流媒体服务器</w:t>
            </w:r>
          </w:p>
        </w:tc>
        <w:tc>
          <w:tcPr>
            <w:tcW w:w="939" w:type="dxa"/>
            <w:noWrap/>
            <w:vAlign w:val="center"/>
          </w:tcPr>
          <w:p w14:paraId="7F8161AD">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8</w:t>
            </w:r>
          </w:p>
        </w:tc>
        <w:tc>
          <w:tcPr>
            <w:tcW w:w="819" w:type="dxa"/>
            <w:noWrap/>
            <w:vAlign w:val="center"/>
          </w:tcPr>
          <w:p w14:paraId="218D2C13">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16</w:t>
            </w:r>
          </w:p>
        </w:tc>
        <w:tc>
          <w:tcPr>
            <w:tcW w:w="852" w:type="dxa"/>
            <w:noWrap/>
            <w:vAlign w:val="center"/>
          </w:tcPr>
          <w:p w14:paraId="3FE0A30E">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40</w:t>
            </w:r>
          </w:p>
        </w:tc>
        <w:tc>
          <w:tcPr>
            <w:tcW w:w="853" w:type="dxa"/>
            <w:noWrap/>
            <w:vAlign w:val="center"/>
          </w:tcPr>
          <w:p w14:paraId="27DC14DF">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600</w:t>
            </w:r>
          </w:p>
        </w:tc>
        <w:tc>
          <w:tcPr>
            <w:tcW w:w="1559" w:type="dxa"/>
            <w:noWrap/>
            <w:vAlign w:val="center"/>
          </w:tcPr>
          <w:p w14:paraId="41197F1C">
            <w:pPr>
              <w:widowControl/>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centos7.9</w:t>
            </w:r>
          </w:p>
        </w:tc>
      </w:tr>
    </w:tbl>
    <w:p w14:paraId="29CE2C41">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③技术路线要求</w:t>
      </w:r>
    </w:p>
    <w:p w14:paraId="65847D7F">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优先采用IT技术专家推荐的开源开发技术。</w:t>
      </w:r>
    </w:p>
    <w:p w14:paraId="26CF60B5">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系统开发使用的操作系统建议采用虚拟机系统版本Centos6或7，或采用WinServer2012。</w:t>
      </w:r>
    </w:p>
    <w:p w14:paraId="7CBDC4FC">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必须采用通用开发工具，不得使用任何封闭的专用开发工具，避免由此引起的系统不兼容等问题。</w:t>
      </w:r>
    </w:p>
    <w:p w14:paraId="173AF175">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数据库要求使用开源或商用数据库的主流稳定版本且该版本必须在官方支持范围之内，比如MySQL5.6及以上长期支持版本。</w:t>
      </w:r>
    </w:p>
    <w:p w14:paraId="4B4DDD5C">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采用严格的面向对象的分析和设计方法，系统采用开放性框架体系。系统在设计时必须充分考虑系统每个模块的可扩充接口，保证系统能随时加挂各种应用模块；能够实现跨平台和跨数据库；采用多服务器集群和动态负载平衡技术，随时随地可通过增加服务器达到线性地提高系统整体性能的目的。</w:t>
      </w:r>
    </w:p>
    <w:p w14:paraId="0531F3AF">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④系统安全性要求</w:t>
      </w:r>
    </w:p>
    <w:p w14:paraId="685E2B35">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需满足航空集团安全规范。系统的安全性方面要能通过航空集团审核。</w:t>
      </w:r>
    </w:p>
    <w:p w14:paraId="7FAC77A7">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需保证WEB服务的安全，包括防止非授权访问、注入攻击、溢出攻击、DDoS攻击等。</w:t>
      </w:r>
    </w:p>
    <w:p w14:paraId="167734FC">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针对应用系统，需设定严格、灵活的权限控制方式及信息安全措施，确保信息安全。</w:t>
      </w:r>
    </w:p>
    <w:p w14:paraId="76387000">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如用户使用范围包含专线和非专线网络，承建商所提供的程序应可满足不同网络环境下正常访问，包括满足SSLVPN（ArraySPX）安全要求的WEB访问，并负责符合设备安全规则的代码修改。</w:t>
      </w:r>
    </w:p>
    <w:p w14:paraId="6E2DA2A3">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系统发布在外网部分，支持自行输入用户名/密码认证，用户验证涉及的用户身份证、电话号码等敏感信息需要专业级的SSL加密，保护用户敏感信息不被泄露；系统发布在内网部分，满足与AD结合实现系统身份验证或接入航空单点登录平台。</w:t>
      </w:r>
    </w:p>
    <w:p w14:paraId="67C5441E">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系统业务用户使用的功能模块与系统运维人员使用的系统管理功能模块分离，系统运维人员可通过授权对系统的数据、运行状态进行监控，查看系统日常报错，并对后台作业进行定义，对业务用户账号的权限进行管理。</w:t>
      </w:r>
    </w:p>
    <w:p w14:paraId="15D32B50">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发动机全周期管理项目数据库采用两地部署方式，同城热备、异地灾备，最大程度保障数据库的安全存储，数据同步备份，如遇系统故障可及时恢复数据。系统根据用户的工作岗位进行系统功能权限配置，保证数据的完整性、安全性，并对需要保密的信息进行加密并保存。对于调岗、离职人员，及时调整或关闭其系统权限，保证系统数据安全与完整。</w:t>
      </w:r>
    </w:p>
    <w:p w14:paraId="61314B91">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充分考虑到用户错误操作、系统模块故障对系统安全运行的影响。</w:t>
      </w:r>
    </w:p>
    <w:p w14:paraId="3B2CD9A9">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⑤系统数据要求</w:t>
      </w:r>
    </w:p>
    <w:p w14:paraId="42A6F605">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系统后台数据库连接应支持JDBC或ADO标准，具备数据库连接池的统一管理和安全性，限制通过其它方式连接系统数据库。</w:t>
      </w:r>
    </w:p>
    <w:p w14:paraId="1A38FE8D">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⑥系统架构要求</w:t>
      </w:r>
    </w:p>
    <w:p w14:paraId="178A2DCF">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有完整的平台架构设计理念，包含业务模型和技术架构，易于扩展。</w:t>
      </w:r>
    </w:p>
    <w:p w14:paraId="2B0C15B9">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系统框架设计具备多层架构以及组件、插件的设计理念，具备良好的扩展性，满足日常的需求变更。</w:t>
      </w:r>
    </w:p>
    <w:p w14:paraId="09AA248A">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软件系统可维护性要求指标：</w:t>
      </w:r>
    </w:p>
    <w:p w14:paraId="5F487CCD">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a.系统是否基于组件设计。</w:t>
      </w:r>
    </w:p>
    <w:p w14:paraId="7AE8A6ED">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b.容易为系统增加一个新功能或新数据，而不需要进行大量的代码修改或设计修改。</w:t>
      </w:r>
    </w:p>
    <w:p w14:paraId="4A58C5DD">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c.产品中包含复杂的算法和业务逻辑，承建商需有针对性</w:t>
      </w:r>
      <w:r>
        <w:rPr>
          <w:rFonts w:hint="eastAsia" w:ascii="仿宋_GB2312" w:hAnsi="仿宋" w:eastAsia="仿宋_GB2312" w:cs="仿宋_GB2312"/>
          <w:color w:val="000000" w:themeColor="text1"/>
          <w:sz w:val="32"/>
          <w:szCs w:val="32"/>
          <w:lang w:eastAsia="zh-CN"/>
          <w14:textFill>
            <w14:solidFill>
              <w14:schemeClr w14:val="tx1"/>
            </w14:solidFill>
          </w14:textFill>
        </w:rPr>
        <w:t>地</w:t>
      </w:r>
      <w:r>
        <w:rPr>
          <w:rFonts w:hint="eastAsia" w:ascii="仿宋_GB2312" w:hAnsi="仿宋" w:eastAsia="仿宋_GB2312" w:cs="仿宋_GB2312"/>
          <w:color w:val="000000" w:themeColor="text1"/>
          <w:sz w:val="32"/>
          <w:szCs w:val="32"/>
          <w14:textFill>
            <w14:solidFill>
              <w14:schemeClr w14:val="tx1"/>
            </w14:solidFill>
          </w14:textFill>
        </w:rPr>
        <w:t>故障排除方案。</w:t>
      </w:r>
    </w:p>
    <w:p w14:paraId="4AAB7B30">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d.系统不依赖环境，也就是说系统不做修改或做很少修改就可以运行在</w:t>
      </w:r>
      <w:r>
        <w:rPr>
          <w:rFonts w:hint="eastAsia" w:ascii="仿宋_GB2312" w:hAnsi="仿宋" w:eastAsia="仿宋_GB2312" w:cs="仿宋_GB2312"/>
          <w:color w:val="000000" w:themeColor="text1"/>
          <w:sz w:val="32"/>
          <w:szCs w:val="32"/>
          <w:lang w:eastAsia="zh-CN"/>
          <w14:textFill>
            <w14:solidFill>
              <w14:schemeClr w14:val="tx1"/>
            </w14:solidFill>
          </w14:textFill>
        </w:rPr>
        <w:t>其他环境</w:t>
      </w:r>
      <w:r>
        <w:rPr>
          <w:rFonts w:hint="eastAsia" w:ascii="仿宋_GB2312" w:hAnsi="仿宋" w:eastAsia="仿宋_GB2312" w:cs="仿宋_GB2312"/>
          <w:color w:val="000000" w:themeColor="text1"/>
          <w:sz w:val="32"/>
          <w:szCs w:val="32"/>
          <w14:textFill>
            <w14:solidFill>
              <w14:schemeClr w14:val="tx1"/>
            </w14:solidFill>
          </w14:textFill>
        </w:rPr>
        <w:t>中。</w:t>
      </w:r>
    </w:p>
    <w:p w14:paraId="2FA1BA5A">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e.整体架构要支持多公司协同使用，需要适应航空集团旗下成员企业使用，具备严格的权限控制。</w:t>
      </w:r>
    </w:p>
    <w:p w14:paraId="6A76E755">
      <w:pPr>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f.系统客户端采用B/S结构。</w:t>
      </w:r>
    </w:p>
    <w:p w14:paraId="6E95A382">
      <w:pPr>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g.系统必须具备负载均衡、集群、读写分离等高可靠性架构，支持性能扩容，支持多地部署，解决方案中需说明服务器切换机制和数据同步机制及相关要求。</w:t>
      </w:r>
    </w:p>
    <w:p w14:paraId="7DAEA730">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⑦系统测试要求</w:t>
      </w:r>
    </w:p>
    <w:p w14:paraId="3050CB1C">
      <w:pPr>
        <w:spacing w:line="560" w:lineRule="exact"/>
        <w:ind w:firstLine="640" w:firstLineChars="200"/>
        <w:rPr>
          <w:rFonts w:hint="eastAsia" w:ascii="仿宋_GB2312" w:hAnsi="仿宋" w:eastAsia="仿宋_GB2312"/>
          <w:iCs/>
          <w:color w:val="000000" w:themeColor="text1"/>
          <w:sz w:val="32"/>
          <w:szCs w:val="32"/>
          <w14:textFill>
            <w14:solidFill>
              <w14:schemeClr w14:val="tx1"/>
            </w14:solidFill>
          </w14:textFill>
        </w:rPr>
      </w:pPr>
      <w:r>
        <w:rPr>
          <w:rFonts w:hint="eastAsia" w:ascii="仿宋_GB2312" w:hAnsi="仿宋" w:eastAsia="仿宋_GB2312"/>
          <w:iCs/>
          <w:color w:val="000000" w:themeColor="text1"/>
          <w:sz w:val="32"/>
          <w:szCs w:val="32"/>
          <w14:textFill>
            <w14:solidFill>
              <w14:schemeClr w14:val="tx1"/>
            </w14:solidFill>
          </w14:textFill>
        </w:rPr>
        <w:t>业务需求的功能测试、UI交互测试、可用性测试、兼容性测试，移动应用的专项测试。</w:t>
      </w:r>
    </w:p>
    <w:p w14:paraId="268CAF97">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⑧系统接口要求</w:t>
      </w:r>
    </w:p>
    <w:p w14:paraId="7E38F317">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可为下游系统及航空集团数据中台提供标准化的API数据接口，为各航司实现日成本管控提供发动机运行数据、送修、租发等信息。</w:t>
      </w:r>
    </w:p>
    <w:p w14:paraId="69D2C53F">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软件接口：</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76"/>
        <w:gridCol w:w="4607"/>
      </w:tblGrid>
      <w:tr w14:paraId="1DE6D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76" w:type="dxa"/>
            <w:vAlign w:val="center"/>
          </w:tcPr>
          <w:p w14:paraId="55E5E085">
            <w:pPr>
              <w:rPr>
                <w:rFonts w:hint="eastAsia" w:ascii="仿宋_GB2312" w:hAnsi="仿宋" w:eastAsia="仿宋_GB2312"/>
                <w:b/>
                <w:bCs/>
                <w:iCs/>
                <w:color w:val="000000" w:themeColor="text1"/>
                <w:sz w:val="24"/>
                <w:szCs w:val="24"/>
                <w14:textFill>
                  <w14:solidFill>
                    <w14:schemeClr w14:val="tx1"/>
                  </w14:solidFill>
                </w14:textFill>
              </w:rPr>
            </w:pPr>
            <w:r>
              <w:rPr>
                <w:rFonts w:ascii="仿宋_GB2312" w:hAnsi="仿宋" w:eastAsia="仿宋_GB2312"/>
                <w:b/>
                <w:bCs/>
                <w:iCs/>
                <w:color w:val="000000" w:themeColor="text1"/>
                <w:sz w:val="24"/>
                <w:szCs w:val="24"/>
                <w14:textFill>
                  <w14:solidFill>
                    <w14:schemeClr w14:val="tx1"/>
                  </w14:solidFill>
                </w14:textFill>
              </w:rPr>
              <w:t>接口系统</w:t>
            </w:r>
          </w:p>
        </w:tc>
        <w:tc>
          <w:tcPr>
            <w:tcW w:w="4607" w:type="dxa"/>
            <w:vAlign w:val="center"/>
          </w:tcPr>
          <w:p w14:paraId="6EE337F6">
            <w:pPr>
              <w:rPr>
                <w:rFonts w:hint="eastAsia" w:ascii="仿宋_GB2312" w:hAnsi="仿宋" w:eastAsia="仿宋_GB2312"/>
                <w:b/>
                <w:bCs/>
                <w:iCs/>
                <w:color w:val="000000" w:themeColor="text1"/>
                <w:sz w:val="24"/>
                <w:szCs w:val="24"/>
                <w14:textFill>
                  <w14:solidFill>
                    <w14:schemeClr w14:val="tx1"/>
                  </w14:solidFill>
                </w14:textFill>
              </w:rPr>
            </w:pPr>
            <w:r>
              <w:rPr>
                <w:rFonts w:ascii="仿宋_GB2312" w:hAnsi="仿宋" w:eastAsia="仿宋_GB2312"/>
                <w:b/>
                <w:bCs/>
                <w:iCs/>
                <w:color w:val="000000" w:themeColor="text1"/>
                <w:sz w:val="24"/>
                <w:szCs w:val="24"/>
                <w14:textFill>
                  <w14:solidFill>
                    <w14:schemeClr w14:val="tx1"/>
                  </w14:solidFill>
                </w14:textFill>
              </w:rPr>
              <w:t>接口数据</w:t>
            </w:r>
          </w:p>
        </w:tc>
      </w:tr>
      <w:tr w14:paraId="4AC81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76" w:type="dxa"/>
            <w:vAlign w:val="center"/>
          </w:tcPr>
          <w:p w14:paraId="3CB5E349">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工卡电签系统</w:t>
            </w:r>
          </w:p>
        </w:tc>
        <w:tc>
          <w:tcPr>
            <w:tcW w:w="4607" w:type="dxa"/>
            <w:vAlign w:val="center"/>
          </w:tcPr>
          <w:p w14:paraId="28DD3F0A">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获取航班信息。</w:t>
            </w:r>
          </w:p>
        </w:tc>
      </w:tr>
      <w:tr w14:paraId="2E489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76" w:type="dxa"/>
            <w:vAlign w:val="center"/>
          </w:tcPr>
          <w:p w14:paraId="79EAF77F">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TDMS系统</w:t>
            </w:r>
          </w:p>
        </w:tc>
        <w:tc>
          <w:tcPr>
            <w:tcW w:w="4607" w:type="dxa"/>
            <w:vAlign w:val="center"/>
          </w:tcPr>
          <w:p w14:paraId="4625AC1C">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获取人员基本信息。</w:t>
            </w:r>
          </w:p>
        </w:tc>
      </w:tr>
      <w:tr w14:paraId="51A84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76" w:type="dxa"/>
            <w:vAlign w:val="center"/>
          </w:tcPr>
          <w:p w14:paraId="3259CCF3">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SAP系统</w:t>
            </w:r>
          </w:p>
        </w:tc>
        <w:tc>
          <w:tcPr>
            <w:tcW w:w="4607" w:type="dxa"/>
            <w:vAlign w:val="center"/>
          </w:tcPr>
          <w:p w14:paraId="3A184F55">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发动机运行数据、送修等信息、获取飞机、发动机、APU等基本信息。</w:t>
            </w:r>
          </w:p>
        </w:tc>
      </w:tr>
      <w:tr w14:paraId="72EA6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76" w:type="dxa"/>
          </w:tcPr>
          <w:p w14:paraId="40B382EC">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Kafka系统</w:t>
            </w:r>
          </w:p>
        </w:tc>
        <w:tc>
          <w:tcPr>
            <w:tcW w:w="4607" w:type="dxa"/>
          </w:tcPr>
          <w:p w14:paraId="41B25EC4">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获取ACARS报文信息。</w:t>
            </w:r>
          </w:p>
        </w:tc>
      </w:tr>
      <w:tr w14:paraId="52E7C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76" w:type="dxa"/>
          </w:tcPr>
          <w:p w14:paraId="256C6DBD">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TDMS接口</w:t>
            </w:r>
          </w:p>
        </w:tc>
        <w:tc>
          <w:tcPr>
            <w:tcW w:w="4607" w:type="dxa"/>
          </w:tcPr>
          <w:p w14:paraId="4BBAA8BA">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获取AD/SB等信息。</w:t>
            </w:r>
          </w:p>
        </w:tc>
      </w:tr>
      <w:tr w14:paraId="1802F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76" w:type="dxa"/>
          </w:tcPr>
          <w:p w14:paraId="202A485D">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MOCP维修控制平台</w:t>
            </w:r>
          </w:p>
        </w:tc>
        <w:tc>
          <w:tcPr>
            <w:tcW w:w="4607" w:type="dxa"/>
          </w:tcPr>
          <w:p w14:paraId="1126C93E">
            <w:pPr>
              <w:rPr>
                <w:rFonts w:hint="eastAsia" w:ascii="仿宋_GB2312" w:hAnsi="仿宋" w:eastAsia="仿宋_GB2312"/>
                <w:iCs/>
                <w:color w:val="000000" w:themeColor="text1"/>
                <w:sz w:val="24"/>
                <w:szCs w:val="24"/>
                <w14:textFill>
                  <w14:solidFill>
                    <w14:schemeClr w14:val="tx1"/>
                  </w14:solidFill>
                </w14:textFill>
              </w:rPr>
            </w:pPr>
            <w:r>
              <w:rPr>
                <w:rFonts w:ascii="仿宋_GB2312" w:hAnsi="仿宋" w:eastAsia="仿宋_GB2312"/>
                <w:iCs/>
                <w:color w:val="000000" w:themeColor="text1"/>
                <w:sz w:val="24"/>
                <w:szCs w:val="24"/>
                <w14:textFill>
                  <w14:solidFill>
                    <w14:schemeClr w14:val="tx1"/>
                  </w14:solidFill>
                </w14:textFill>
              </w:rPr>
              <w:t>获取机队状态等信息。</w:t>
            </w:r>
          </w:p>
        </w:tc>
      </w:tr>
    </w:tbl>
    <w:p w14:paraId="45EA706E">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硬件接口：无</w:t>
      </w:r>
    </w:p>
    <w:p w14:paraId="4DE8166F">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⑨系统性能要求</w:t>
      </w:r>
    </w:p>
    <w:p w14:paraId="5BB17E6F">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功能响应时间要求：在正常100并发的情况下，响应时间&lt;3秒（不能达到要求的功能</w:t>
      </w:r>
      <w:r>
        <w:rPr>
          <w:rFonts w:hint="eastAsia" w:ascii="仿宋_GB2312" w:hAnsi="仿宋" w:eastAsia="仿宋_GB2312" w:cs="仿宋_GB2312"/>
          <w:color w:val="000000" w:themeColor="text1"/>
          <w:sz w:val="32"/>
          <w:szCs w:val="32"/>
          <w:lang w:eastAsia="zh-CN"/>
          <w14:textFill>
            <w14:solidFill>
              <w14:schemeClr w14:val="tx1"/>
            </w14:solidFill>
          </w14:textFill>
        </w:rPr>
        <w:t>需要</w:t>
      </w:r>
      <w:r>
        <w:rPr>
          <w:rFonts w:hint="eastAsia" w:ascii="仿宋_GB2312" w:hAnsi="仿宋" w:eastAsia="仿宋_GB2312" w:cs="仿宋_GB2312"/>
          <w:color w:val="000000" w:themeColor="text1"/>
          <w:sz w:val="32"/>
          <w:szCs w:val="32"/>
          <w14:textFill>
            <w14:solidFill>
              <w14:schemeClr w14:val="tx1"/>
            </w14:solidFill>
          </w14:textFill>
        </w:rPr>
        <w:t>特别说明）；在满负荷300并发的情况下，响应时间5秒；在超负荷400并发的情况下，响应时间6秒。对如何提高系统性能的方法加以说明。</w:t>
      </w:r>
    </w:p>
    <w:p w14:paraId="434C478F">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⑩系统界面/易用性要求</w:t>
      </w:r>
    </w:p>
    <w:p w14:paraId="60620D9E">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系统界面设计要求自适应分辨率，满足主流分辨率有理想效果前提下，</w:t>
      </w:r>
      <w:r>
        <w:rPr>
          <w:rFonts w:hint="eastAsia" w:ascii="仿宋_GB2312" w:hAnsi="仿宋" w:eastAsia="仿宋_GB2312" w:cs="仿宋_GB2312"/>
          <w:color w:val="000000" w:themeColor="text1"/>
          <w:sz w:val="32"/>
          <w:szCs w:val="32"/>
          <w:lang w:eastAsia="zh-CN"/>
          <w14:textFill>
            <w14:solidFill>
              <w14:schemeClr w14:val="tx1"/>
            </w14:solidFill>
          </w14:textFill>
        </w:rPr>
        <w:t>其他</w:t>
      </w:r>
      <w:r>
        <w:rPr>
          <w:rFonts w:hint="eastAsia" w:ascii="仿宋_GB2312" w:hAnsi="仿宋" w:eastAsia="仿宋_GB2312" w:cs="仿宋_GB2312"/>
          <w:color w:val="000000" w:themeColor="text1"/>
          <w:sz w:val="32"/>
          <w:szCs w:val="32"/>
          <w14:textFill>
            <w14:solidFill>
              <w14:schemeClr w14:val="tx1"/>
            </w14:solidFill>
          </w14:textFill>
        </w:rPr>
        <w:t>分辨率下要有较好的视觉效果。</w:t>
      </w:r>
    </w:p>
    <w:p w14:paraId="2CB149FB">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系统交互设计应充分考虑用户习惯及使用偏好。</w:t>
      </w:r>
    </w:p>
    <w:p w14:paraId="286FE505">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容易为系统更换界面风格。</w:t>
      </w:r>
    </w:p>
    <w:p w14:paraId="53F4A4E7">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 w:eastAsia="仿宋_GB2312" w:cs="仿宋_GB2312"/>
          <w:color w:val="000000" w:themeColor="text1"/>
          <w:sz w:val="32"/>
          <w:szCs w:val="32"/>
          <w14:textFill>
            <w14:solidFill>
              <w14:schemeClr w14:val="tx1"/>
            </w14:solidFill>
          </w14:textFill>
        </w:rPr>
        <w:t>兼容性要求：用户使用PC端的系统至少支持IE8.0及以上各个版本、Firefox和Chrome等</w:t>
      </w:r>
      <w:r>
        <w:rPr>
          <w:rFonts w:hint="eastAsia" w:ascii="仿宋_GB2312" w:hAnsi="仿宋" w:eastAsia="仿宋_GB2312" w:cs="仿宋_GB2312"/>
          <w:color w:val="000000" w:themeColor="text1"/>
          <w:sz w:val="32"/>
          <w:szCs w:val="32"/>
          <w:lang w:eastAsia="zh-CN"/>
          <w14:textFill>
            <w14:solidFill>
              <w14:schemeClr w14:val="tx1"/>
            </w14:solidFill>
          </w14:textFill>
        </w:rPr>
        <w:t>三款</w:t>
      </w:r>
      <w:r>
        <w:rPr>
          <w:rFonts w:hint="eastAsia" w:ascii="仿宋_GB2312" w:hAnsi="仿宋" w:eastAsia="仿宋_GB2312" w:cs="仿宋_GB2312"/>
          <w:color w:val="000000" w:themeColor="text1"/>
          <w:sz w:val="32"/>
          <w:szCs w:val="32"/>
          <w14:textFill>
            <w14:solidFill>
              <w14:schemeClr w14:val="tx1"/>
            </w14:solidFill>
          </w14:textFill>
        </w:rPr>
        <w:t>主流浏览器。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小标宋">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C09"/>
    <w:rsid w:val="00237820"/>
    <w:rsid w:val="00561350"/>
    <w:rsid w:val="005E5DD5"/>
    <w:rsid w:val="00666C09"/>
    <w:rsid w:val="00A33FE1"/>
    <w:rsid w:val="00AB7642"/>
    <w:rsid w:val="00B74641"/>
    <w:rsid w:val="00E23030"/>
    <w:rsid w:val="00F626C2"/>
    <w:rsid w:val="5A6503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1"/>
    <w:basedOn w:val="1"/>
    <w:next w:val="1"/>
    <w:link w:val="18"/>
    <w:qFormat/>
    <w:uiPriority w:val="0"/>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4">
    <w:name w:val="heading 2"/>
    <w:basedOn w:val="1"/>
    <w:next w:val="1"/>
    <w:link w:val="19"/>
    <w:unhideWhenUsed/>
    <w:qFormat/>
    <w:uiPriority w:val="0"/>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5">
    <w:name w:val="heading 3"/>
    <w:basedOn w:val="1"/>
    <w:next w:val="1"/>
    <w:link w:val="20"/>
    <w:unhideWhenUsed/>
    <w:qFormat/>
    <w:uiPriority w:val="0"/>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6">
    <w:name w:val="heading 4"/>
    <w:basedOn w:val="1"/>
    <w:next w:val="1"/>
    <w:link w:val="21"/>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7">
    <w:name w:val="heading 5"/>
    <w:basedOn w:val="1"/>
    <w:next w:val="1"/>
    <w:link w:val="22"/>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8">
    <w:name w:val="heading 6"/>
    <w:basedOn w:val="1"/>
    <w:next w:val="1"/>
    <w:link w:val="23"/>
    <w:semiHidden/>
    <w:unhideWhenUsed/>
    <w:qFormat/>
    <w:uiPriority w:val="9"/>
    <w:pPr>
      <w:keepNext/>
      <w:keepLines/>
      <w:spacing w:before="40"/>
      <w:outlineLvl w:val="5"/>
    </w:pPr>
    <w:rPr>
      <w:rFonts w:cstheme="majorBidi"/>
      <w:b/>
      <w:bCs/>
      <w:color w:val="104862" w:themeColor="accent1" w:themeShade="BF"/>
    </w:rPr>
  </w:style>
  <w:style w:type="paragraph" w:styleId="9">
    <w:name w:val="heading 7"/>
    <w:basedOn w:val="1"/>
    <w:next w:val="1"/>
    <w:link w:val="24"/>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10">
    <w:name w:val="heading 8"/>
    <w:basedOn w:val="1"/>
    <w:next w:val="1"/>
    <w:link w:val="25"/>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1">
    <w:name w:val="heading 9"/>
    <w:basedOn w:val="1"/>
    <w:next w:val="1"/>
    <w:link w:val="26"/>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38"/>
    <w:unhideWhenUsed/>
    <w:qFormat/>
    <w:uiPriority w:val="99"/>
    <w:pPr>
      <w:spacing w:after="120"/>
    </w:pPr>
  </w:style>
  <w:style w:type="paragraph" w:styleId="12">
    <w:name w:val="footer"/>
    <w:basedOn w:val="1"/>
    <w:link w:val="37"/>
    <w:unhideWhenUsed/>
    <w:qFormat/>
    <w:uiPriority w:val="99"/>
    <w:pPr>
      <w:tabs>
        <w:tab w:val="center" w:pos="4153"/>
        <w:tab w:val="right" w:pos="8306"/>
      </w:tabs>
      <w:snapToGrid w:val="0"/>
      <w:jc w:val="left"/>
    </w:pPr>
    <w:rPr>
      <w:sz w:val="18"/>
      <w:szCs w:val="18"/>
    </w:rPr>
  </w:style>
  <w:style w:type="paragraph" w:styleId="13">
    <w:name w:val="header"/>
    <w:basedOn w:val="1"/>
    <w:link w:val="36"/>
    <w:unhideWhenUsed/>
    <w:qFormat/>
    <w:uiPriority w:val="99"/>
    <w:pPr>
      <w:tabs>
        <w:tab w:val="center" w:pos="4153"/>
        <w:tab w:val="right" w:pos="8306"/>
      </w:tabs>
      <w:snapToGrid w:val="0"/>
      <w:jc w:val="center"/>
    </w:pPr>
    <w:rPr>
      <w:sz w:val="18"/>
      <w:szCs w:val="18"/>
    </w:rPr>
  </w:style>
  <w:style w:type="paragraph" w:styleId="14">
    <w:name w:val="Subtitle"/>
    <w:basedOn w:val="1"/>
    <w:next w:val="1"/>
    <w:link w:val="28"/>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5">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8">
    <w:name w:val="标题 1 字符"/>
    <w:basedOn w:val="17"/>
    <w:link w:val="3"/>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4"/>
    <w:qFormat/>
    <w:uiPriority w:val="0"/>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5"/>
    <w:qFormat/>
    <w:uiPriority w:val="0"/>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6"/>
    <w:semiHidden/>
    <w:qFormat/>
    <w:uiPriority w:val="9"/>
    <w:rPr>
      <w:rFonts w:cstheme="majorBidi"/>
      <w:color w:val="104862" w:themeColor="accent1" w:themeShade="BF"/>
      <w:sz w:val="28"/>
      <w:szCs w:val="28"/>
    </w:rPr>
  </w:style>
  <w:style w:type="character" w:customStyle="1" w:styleId="22">
    <w:name w:val="标题 5 字符"/>
    <w:basedOn w:val="17"/>
    <w:link w:val="7"/>
    <w:semiHidden/>
    <w:qFormat/>
    <w:uiPriority w:val="9"/>
    <w:rPr>
      <w:rFonts w:cstheme="majorBidi"/>
      <w:color w:val="104862" w:themeColor="accent1" w:themeShade="BF"/>
      <w:sz w:val="24"/>
      <w:szCs w:val="24"/>
    </w:rPr>
  </w:style>
  <w:style w:type="character" w:customStyle="1" w:styleId="23">
    <w:name w:val="标题 6 字符"/>
    <w:basedOn w:val="17"/>
    <w:link w:val="8"/>
    <w:semiHidden/>
    <w:qFormat/>
    <w:uiPriority w:val="9"/>
    <w:rPr>
      <w:rFonts w:cstheme="majorBidi"/>
      <w:b/>
      <w:bCs/>
      <w:color w:val="104862" w:themeColor="accent1" w:themeShade="BF"/>
    </w:rPr>
  </w:style>
  <w:style w:type="character" w:customStyle="1" w:styleId="24">
    <w:name w:val="标题 7 字符"/>
    <w:basedOn w:val="17"/>
    <w:link w:val="9"/>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10"/>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1"/>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5"/>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character" w:customStyle="1" w:styleId="36">
    <w:name w:val="页眉 字符"/>
    <w:basedOn w:val="17"/>
    <w:link w:val="13"/>
    <w:qFormat/>
    <w:uiPriority w:val="99"/>
    <w:rPr>
      <w:sz w:val="18"/>
      <w:szCs w:val="18"/>
    </w:rPr>
  </w:style>
  <w:style w:type="character" w:customStyle="1" w:styleId="37">
    <w:name w:val="页脚 字符"/>
    <w:basedOn w:val="17"/>
    <w:link w:val="12"/>
    <w:qFormat/>
    <w:uiPriority w:val="99"/>
    <w:rPr>
      <w:sz w:val="18"/>
      <w:szCs w:val="18"/>
    </w:rPr>
  </w:style>
  <w:style w:type="character" w:customStyle="1" w:styleId="38">
    <w:name w:val="正文文本 字符"/>
    <w:basedOn w:val="17"/>
    <w:link w:val="2"/>
    <w:uiPriority w:val="99"/>
    <w:rPr>
      <w:rFonts w:ascii="Calibri" w:hAnsi="Calibri" w:eastAsia="宋体"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11d6570a-2951-4f57-b49f-8cecb59202e0</errorID>
      <errorWord>需具备</errorWord>
      <group>L1_Word</group>
      <groupName>字词问题</groupName>
      <ability>L2_Typo</ability>
      <abilityName>字词错误</abilityName>
      <candidateList>
        <item>须具备</item>
      </candidateList>
      <explain/>
      <paraID>1BA09B63</paraID>
      <start>14</start>
      <end>17</end>
      <status>modified</status>
      <modifiedWord>须具备</modifiedWord>
      <trackRevisions>false</trackRevisions>
    </reviewItem>
    <reviewItem>
      <errorID>735b0856-9954-4b0f-96eb-62b84dc2ede6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7724C8DE</paraID>
      <start>69</start>
      <end>70</end>
      <status>modified</status>
      <modifiedWord>—</modifiedWord>
      <trackRevisions>false</trackRevisions>
    </reviewItem>
    <reviewItem>
      <errorID>92f63d3e-bccd-4247-8b25-8e8abb553d43</errorID>
      <errorWord>85-90%</errorWord>
      <group>L1_Knowledge</group>
      <groupName>知识性问题</groupName>
      <ability>L2_Knowledge</ability>
      <abilityName>其他知识</abilityName>
      <candidateList>
        <item>85%—90%</item>
      </candidateList>
      <explain>1. “85-90%”中的单位“%”仅出现在后一个数字上，容易引起歧义；根据《现代汉语标点符号数字用法规范手册》，数字表示范围两边需要使用统一的格式。2. 根据标点国标 4.13 中的规则，数字、时间或地域连接符应使用（视觉上更长的）“—”或“～”。</explain>
      <paraID>48B9A05A</paraID>
      <start>11</start>
      <end>18</end>
      <status>modified</status>
      <modifiedWord>85%—90%</modifiedWord>
      <trackRevisions>false</trackRevisions>
    </reviewItem>
    <reviewItem>
      <errorID>5920ec94-d2ae-43c9-9d9e-d361a669b8f6</errorID>
      <errorWord>-</errorWord>
      <group>L1_Format</group>
      <groupName>格式问题</groupName>
      <ability>L2_HalfPunc</ability>
      <abilityName>全半角检查</abilityName>
      <candidateList>
        <item>－</item>
      </candidateList>
      <explain>文本全半角错误。</explain>
      <paraID>19CAA575</paraID>
      <start>56</start>
      <end>57</end>
      <status>modified</status>
      <modifiedWord>－</modifiedWord>
      <trackRevisions>false</trackRevisions>
    </reviewItem>
    <reviewItem>
      <errorID>ca067fa2-38d9-42ac-b10c-c8ae723728f5</errorID>
      <errorWord>:</errorWord>
      <group>L1_Format</group>
      <groupName>格式问题</groupName>
      <ability>L2_HalfPunc</ability>
      <abilityName>全半角检查</abilityName>
      <candidateList>
        <item>：</item>
      </candidateList>
      <explain>文本全半角错误。</explain>
      <paraID>54D6BBCF</paraID>
      <start>9</start>
      <end>10</end>
      <status>modified</status>
      <modifiedWord>：</modifiedWord>
      <trackRevisions>false</trackRevisions>
    </reviewItem>
    <reviewItem>
      <errorID>0764ea10-7160-4097-8e75-4f7a009b8905</errorID>
      <errorWord>过滤的</errorWord>
      <group>L1_Word</group>
      <groupName>字词问题</groupName>
      <ability>L2_Typo</ability>
      <abilityName>字词错误</abilityName>
      <candidateList>
        <item>过滤</item>
      </candidateList>
      <explain/>
      <paraID>77119DFD</paraID>
      <start>7</start>
      <end>9</end>
      <status>modified</status>
      <modifiedWord>过滤</modifiedWord>
      <trackRevisions>false</trackRevisions>
    </reviewItem>
    <reviewItem>
      <errorID>72959c83-6878-4b24-bb59-01739c76b103</errorID>
      <errorWord>超</errorWord>
      <group>L1_Word</group>
      <groupName>字词问题</groupName>
      <ability>L2_Typo</ability>
      <abilityName>字词错误</abilityName>
      <candidateList>
        <item>超过</item>
      </candidateList>
      <explain/>
      <paraID>1D38BF0E</paraID>
      <start>27</start>
      <end>29</end>
      <status>modified</status>
      <modifiedWord>超过</modifiedWord>
      <trackRevisions>false</trackRevisions>
    </reviewItem>
    <reviewItem>
      <errorID>af769c7f-3f17-4851-8a3c-e42328d3cecb</errorID>
      <errorWord>-</errorWord>
      <group>L1_Format</group>
      <groupName>格式问题</groupName>
      <ability>L2_HalfPunc</ability>
      <abilityName>全半角检查</abilityName>
      <candidateList>
        <item>－</item>
      </candidateList>
      <explain>文本全半角错误。</explain>
      <paraID>5CAB773C</paraID>
      <start>4</start>
      <end>5</end>
      <status>modified</status>
      <modifiedWord>－</modifiedWord>
      <trackRevisions>false</trackRevisions>
    </reviewItem>
    <reviewItem>
      <errorID>16d77521-e691-43a1-86f3-978f57111df6</errorID>
      <errorWord>-</errorWord>
      <group>L1_Format</group>
      <groupName>格式问题</groupName>
      <ability>L2_HalfPunc</ability>
      <abilityName>全半角检查</abilityName>
      <candidateList>
        <item>－</item>
      </candidateList>
      <explain>文本全半角错误。</explain>
      <paraID>55A1B44E</paraID>
      <start>4</start>
      <end>5</end>
      <status>modified</status>
      <modifiedWord>－</modifiedWord>
      <trackRevisions>false</trackRevisions>
    </reviewItem>
    <reviewItem>
      <errorID>baeb622c-8b68-464a-8318-ee316575098f</errorID>
      <errorWord>(</errorWord>
      <group>L1_Format</group>
      <groupName>格式问题</groupName>
      <ability>L2_HalfPunc</ability>
      <abilityName>全半角检查</abilityName>
      <candidateList>
        <item>（</item>
      </candidateList>
      <explain>文本全半角错误。</explain>
      <paraID>47D96394</paraID>
      <start>34</start>
      <end>35</end>
      <status>modified</status>
      <modifiedWord>（</modifiedWord>
      <trackRevisions>false</trackRevisions>
    </reviewItem>
    <reviewItem>
      <errorID>e8c46dea-fb93-4000-a9bd-60d40dd3b881</errorID>
      <errorWord>)</errorWord>
      <group>L1_Format</group>
      <groupName>格式问题</groupName>
      <ability>L2_HalfPunc</ability>
      <abilityName>全半角检查</abilityName>
      <candidateList>
        <item>）</item>
      </candidateList>
      <explain>文本全半角错误。</explain>
      <paraID>47D96394</paraID>
      <start>55</start>
      <end>56</end>
      <status>modified</status>
      <modifiedWord>）</modifiedWord>
      <trackRevisions>false</trackRevisions>
    </reviewItem>
    <reviewItem>
      <errorID>f5f1c08e-0491-49a3-9045-c299073d0186</errorID>
      <errorWord>模版</errorWord>
      <group>L1_Word</group>
      <groupName>字词问题</groupName>
      <ability>L2_Typo</ability>
      <abilityName>字词错误</abilityName>
      <candidateList>
        <item>模板</item>
      </candidateList>
      <explain>存在发音相同字词的误用。</explain>
      <paraID>606B79B4</paraID>
      <start>23</start>
      <end>25</end>
      <status>modified</status>
      <modifiedWord>模板</modifiedWord>
      <trackRevisions>false</trackRevisions>
    </reviewItem>
    <reviewItem>
      <errorID>58f500c4-5bd6-4fd0-a51f-1208537ea4e0</errorID>
      <errorWord>，里</errorWord>
      <group>L1_Word</group>
      <groupName>字词问题</groupName>
      <ability>L2_Typo</ability>
      <abilityName>字词错误</abilityName>
      <candidateList>
        <item>，</item>
      </candidateList>
      <explain/>
      <paraID>35B30FD0</paraID>
      <start>58</start>
      <end>59</end>
      <status>modified</status>
      <modifiedWord>，</modifiedWord>
      <trackRevisions>false</trackRevisions>
    </reviewItem>
    <reviewItem>
      <errorID>db7e20b7-6f5b-4af5-a791-077babf78674</errorID>
      <errorWord>关键字或</errorWord>
      <group>L1_Word</group>
      <groupName>字词问题</groupName>
      <ability>L2_Typo</ability>
      <abilityName>字词错误</abilityName>
      <candidateList>
        <item>关键字</item>
      </candidateList>
      <explain/>
      <paraID>3B4144B1</paraID>
      <start>10</start>
      <end>13</end>
      <status>modified</status>
      <modifiedWord>关键字</modifiedWord>
      <trackRevisions>false</trackRevisions>
    </reviewItem>
    <reviewItem>
      <errorID>16a5556e-3df0-4bed-9a78-8f046d1479ae</errorID>
      <errorWord>模版</errorWord>
      <group>L1_Word</group>
      <groupName>字词问题</groupName>
      <ability>L2_Typo</ability>
      <abilityName>字词错误</abilityName>
      <candidateList>
        <item>模板</item>
      </candidateList>
      <explain>存在发音相同字词的误用。</explain>
      <paraID>3B4144B1</paraID>
      <start>17</start>
      <end>19</end>
      <status>modified</status>
      <modifiedWord>模板</modifiedWord>
      <trackRevisions>false</trackRevisions>
    </reviewItem>
    <reviewItem>
      <errorID>e63e7b03-b5c1-454b-bf33-da0da34f3cd0</errorID>
      <errorWord>,</errorWord>
      <group>L1_Format</group>
      <groupName>格式问题</groupName>
      <ability>L2_HalfPunc</ability>
      <abilityName>全半角检查</abilityName>
      <candidateList>
        <item>，</item>
      </candidateList>
      <explain>文本全半角错误。</explain>
      <paraID>13F45093</paraID>
      <start>22</start>
      <end>23</end>
      <status>modified</status>
      <modifiedWord>，</modifiedWord>
      <trackRevisions>false</trackRevisions>
    </reviewItem>
    <reviewItem>
      <errorID>f1b2fc81-8280-4461-a27f-c8fc50c6b248</errorID>
      <errorWord>文件的</errorWord>
      <group>L1_Word</group>
      <groupName>字词问题</groupName>
      <ability>L2_Typo</ability>
      <abilityName>字词错误</abilityName>
      <candidateList>
        <item>文件</item>
      </candidateList>
      <explain/>
      <paraID> A954B1A</paraID>
      <start>30</start>
      <end>32</end>
      <status>modified</status>
      <modifiedWord>文件</modifiedWord>
      <trackRevisions>false</trackRevisions>
    </reviewItem>
    <reviewItem>
      <errorID>cc48d034-efb2-4112-abcd-ff5f4a2d237d</errorID>
      <errorWord>-</errorWord>
      <group>L1_Format</group>
      <groupName>格式问题</groupName>
      <ability>L2_HalfPunc</ability>
      <abilityName>全半角检查</abilityName>
      <candidateList>
        <item>－</item>
      </candidateList>
      <explain>文本全半角错误。</explain>
      <paraID>33B56449</paraID>
      <start>38</start>
      <end>39</end>
      <status>modified</status>
      <modifiedWord>－</modifiedWord>
      <trackRevisions>false</trackRevisions>
    </reviewItem>
    <reviewItem>
      <errorID>e0c2ae43-cc15-4ffe-8a4e-c90cc283271c</errorID>
      <errorWord>,</errorWord>
      <group>L1_Format</group>
      <groupName>格式问题</groupName>
      <ability>L2_HalfPunc</ability>
      <abilityName>全半角检查</abilityName>
      <candidateList>
        <item>，</item>
      </candidateList>
      <explain>文本全半角错误。</explain>
      <paraID>721C05FB</paraID>
      <start>9</start>
      <end>10</end>
      <status>modified</status>
      <modifiedWord>，</modifiedWord>
      <trackRevisions>false</trackRevisions>
    </reviewItem>
    <reviewItem>
      <errorID>1b420366-081b-4b0a-8067-8bb244954a7a</errorID>
      <errorWord>改版</errorWord>
      <group>L1_Word</group>
      <groupName>字词问题</groupName>
      <ability>L2_Typo</ability>
      <abilityName>字词错误</abilityName>
      <candidateList>
        <item>改变</item>
      </candidateList>
      <explain/>
      <paraID>433E4731</paraID>
      <start>360</start>
      <end>362</end>
      <status>modified</status>
      <modifiedWord>改变</modifiedWord>
      <trackRevisions>false</trackRevisions>
    </reviewItem>
    <reviewItem>
      <errorID>0403c95d-f774-43c8-b944-80a668931f92</errorID>
      <errorWord>任务的</errorWord>
      <group>L1_Word</group>
      <groupName>字词问题</groupName>
      <ability>L2_Typo</ability>
      <abilityName>字词错误</abilityName>
      <candidateList>
        <item>任务</item>
      </candidateList>
      <explain>〈名〉指定担任的工作；指定担负的责任：生产～｜超额完成～｜本校今年的招生～是五百名。</explain>
      <paraID>473DEEDA</paraID>
      <start>50</start>
      <end>52</end>
      <status>modified</status>
      <modifiedWord>任务</modifiedWord>
      <trackRevisions>false</trackRevisions>
    </reviewItem>
    <reviewItem>
      <errorID>ce0e4514-8026-4598-8e2f-5007bfd670d1</errorID>
      <errorWord>需要可</errorWord>
      <group>L1_Word</group>
      <groupName>字词问题</groupName>
      <ability>L2_Typo</ability>
      <abilityName>字词错误</abilityName>
      <candidateList>
        <item>需要</item>
      </candidateList>
      <explain>❶〈动〉应该有或必须有：我们～一支强大的科学技术队伍。❷〈名〉对事物的欲望或要求：从群众的～出发。</explain>
      <paraID>473DEEDA</paraID>
      <start>198</start>
      <end>200</end>
      <status>modified</status>
      <modifiedWord>需要</modifiedWord>
      <trackRevisions>false</trackRevisions>
    </reviewItem>
    <reviewItem>
      <errorID>082fab53-a088-458c-bcf7-cb9f27c06952</errorID>
      <errorWord>-</errorWord>
      <group>L1_Format</group>
      <groupName>格式问题</groupName>
      <ability>L2_HalfPunc</ability>
      <abilityName>全半角检查</abilityName>
      <candidateList>
        <item>－</item>
      </candidateList>
      <explain>文本全半角错误。</explain>
      <paraID>5975195A</paraID>
      <start>63</start>
      <end>64</end>
      <status>modified</status>
      <modifiedWord>－</modifiedWord>
      <trackRevisions>false</trackRevisions>
    </reviewItem>
    <reviewItem>
      <errorID>401e8f39-e7b3-48c0-bfcc-acf328b638db</errorID>
      <errorWord>（</errorWord>
      <group>L1_Punc</group>
      <groupName>标点问题</groupName>
      <ability>L2_Punc</ability>
      <abilityName>标点符号检查</abilityName>
      <candidateList/>
      <explain>同一形式括号套用。</explain>
      <paraID>211AD363</paraID>
      <start>22</start>
      <end>23</end>
      <status>ignored</status>
      <modifiedWord/>
      <trackRevisions>false</trackRevisions>
    </reviewItem>
    <reviewItem>
      <errorID>be68ae1d-51fc-451c-842f-741fb927171a</errorID>
      <errorWord>）</errorWord>
      <group>L1_Punc</group>
      <groupName>标点问题</groupName>
      <ability>L2_Punc</ability>
      <abilityName>标点符号检查</abilityName>
      <candidateList/>
      <explain>同一形式括号套用。</explain>
      <paraID>211AD363</paraID>
      <start>29</start>
      <end>30</end>
      <status>ignored</status>
      <modifiedWord/>
      <trackRevisions>false</trackRevisions>
    </reviewItem>
    <reviewItem>
      <errorID>469cfe8e-7f8f-4b27-abb3-4cd13507e631</errorID>
      <errorWord>&gt;</errorWord>
      <group>L1_Punc</group>
      <groupName>标点问题</groupName>
      <ability>L2_Punc</ability>
      <abilityName>标点符号检查</abilityName>
      <candidateList/>
      <explain/>
      <paraID>21A8E36B</paraID>
      <start>0</start>
      <end>1</end>
      <status>ignored</status>
      <modifiedWord/>
      <trackRevisions>false</trackRevisions>
    </reviewItem>
    <reviewItem>
      <errorID>d45fa1c9-09c2-42bd-aaff-0134a6672cf2</errorID>
      <errorWord>&gt;</errorWord>
      <group>L1_Punc</group>
      <groupName>标点问题</groupName>
      <ability>L2_Punc</ability>
      <abilityName>标点符号检查</abilityName>
      <candidateList/>
      <explain/>
      <paraID>2F89DBE5</paraID>
      <start>0</start>
      <end>1</end>
      <status>ignored</status>
      <modifiedWord/>
      <trackRevisions>false</trackRevisions>
    </reviewItem>
    <reviewItem>
      <errorID>9ef2cefc-5f38-4140-871a-a5a1d6f314fa</errorID>
      <errorWord>&gt;</errorWord>
      <group>L1_Punc</group>
      <groupName>标点问题</groupName>
      <ability>L2_Punc</ability>
      <abilityName>标点符号检查</abilityName>
      <candidateList/>
      <explain/>
      <paraID>7B3DE0C4</paraID>
      <start>0</start>
      <end>1</end>
      <status>ignored</status>
      <modifiedWord/>
      <trackRevisions>false</trackRevisions>
    </reviewItem>
    <reviewItem>
      <errorID>7905fd89-6071-40d5-b4a9-11d6a2a5692f</errorID>
      <errorWord>&gt;</errorWord>
      <group>L1_Punc</group>
      <groupName>标点问题</groupName>
      <ability>L2_Punc</ability>
      <abilityName>标点符号检查</abilityName>
      <candidateList/>
      <explain/>
      <paraID>1C99EE3C</paraID>
      <start>0</start>
      <end>1</end>
      <status>ignored</status>
      <modifiedWord/>
      <trackRevisions>false</trackRevisions>
    </reviewItem>
    <reviewItem>
      <errorID>0dba517a-1e41-4d87-afe5-0fde07b89669</errorID>
      <errorWord>&gt;</errorWord>
      <group>L1_Punc</group>
      <groupName>标点问题</groupName>
      <ability>L2_Punc</ability>
      <abilityName>标点符号检查</abilityName>
      <candidateList/>
      <explain/>
      <paraID>269B0241</paraID>
      <start>0</start>
      <end>1</end>
      <status>ignored</status>
      <modifiedWord/>
      <trackRevisions>false</trackRevisions>
    </reviewItem>
    <reviewItem>
      <errorID>3b4fe966-4c02-41fa-aaf5-5265cdbcedd4</errorID>
      <errorWord>&gt;</errorWord>
      <group>L1_Punc</group>
      <groupName>标点问题</groupName>
      <ability>L2_Punc</ability>
      <abilityName>标点符号检查</abilityName>
      <candidateList/>
      <explain/>
      <paraID> 5A31291</paraID>
      <start>0</start>
      <end>1</end>
      <status>ignored</status>
      <modifiedWord/>
      <trackRevisions>false</trackRevisions>
    </reviewItem>
    <reviewItem>
      <errorID>d66e1a6f-fe42-4a1a-94e7-c3a666077399</errorID>
      <errorWord>其它</errorWord>
      <group>L1_Word</group>
      <groupName>字词问题</groupName>
      <ability>L2_Alias</ability>
      <abilityName>也作/曾用词</abilityName>
      <candidateList>
        <item>其他</item>
      </candidateList>
      <explain>词汇[其它]为不规范表述或旧称，其规范书面表述为[其他]。</explain>
      <paraID>19986F47</paraID>
      <start>25</start>
      <end>27</end>
      <status>modified</status>
      <modifiedWord>其他</modifiedWord>
      <trackRevisions>false</trackRevisions>
    </reviewItem>
    <reviewItem>
      <errorID>1a82bbbf-6416-49b8-8ba6-2ecb4577c22e</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4A58C5DD</paraID>
      <start>26</start>
      <end>27</end>
      <status>modified</status>
      <modifiedWord>地</modifiedWord>
      <trackRevisions>false</trackRevisions>
    </reviewItem>
    <reviewItem>
      <errorID>476b9206-eceb-4a1e-89e7-7e91f62955b7</errorID>
      <errorWord>其它环境</errorWord>
      <group>L1_Word</group>
      <groupName>字词问题</groupName>
      <ability>L2_Alias</ability>
      <abilityName>也作/曾用词</abilityName>
      <candidateList>
        <item>其他环境</item>
      </candidateList>
      <explain>词汇[其它环境]为不规范表述或旧称，其规范书面表述为[其他环境]。</explain>
      <paraID>4AAB7B30</paraID>
      <start>32</start>
      <end>36</end>
      <status>modified</status>
      <modifiedWord>其他环境</modifiedWord>
      <trackRevisions>false</trackRevisions>
    </reviewItem>
    <reviewItem>
      <errorID>0581cfa2-4e76-4776-9862-8b7415a4f68c</errorID>
      <errorWord>需</errorWord>
      <group>L1_Word</group>
      <groupName>字词问题</groupName>
      <ability>L2_Typo</ability>
      <abilityName>字词错误</abilityName>
      <candidateList>
        <item>需要</item>
      </candidateList>
      <explain>❶〈动〉应该有或必须有：我们～一支强大的科学技术队伍。❷〈名〉对事物的欲望或要求：从群众的～出发。</explain>
      <paraID>5BB17E6F</paraID>
      <start>39</start>
      <end>41</end>
      <status>modified</status>
      <modifiedWord>需要</modifiedWord>
      <trackRevisions>false</trackRevisions>
    </reviewItem>
    <reviewItem>
      <errorID>03fe8d9f-3868-437d-8f29-c7baf99b79ae</errorID>
      <errorWord>其它</errorWord>
      <group>L1_Word</group>
      <groupName>字词问题</groupName>
      <ability>L2_Alias</ability>
      <abilityName>也作/曾用词</abilityName>
      <candidateList>
        <item>其他</item>
      </candidateList>
      <explain>词汇[其它]为不规范表述或旧称，其规范书面表述为[其他]。</explain>
      <paraID>60620D9E</paraID>
      <start>31</start>
      <end>33</end>
      <status>modified</status>
      <modifiedWord>其他</modifiedWord>
      <trackRevisions>false</trackRevisions>
    </reviewItem>
    <reviewItem>
      <errorID>15e03487-4978-4aeb-93bc-1a8609127bbd</errorID>
      <errorWord>三种</errorWord>
      <group>L1_Knowledge</group>
      <groupName>知识性问题</groupName>
      <ability>L2_Knowledge</ability>
      <abilityName>其他知识</abilityName>
      <candidateList>
        <item>三款</item>
      </candidateList>
      <explain/>
      <paraID>53F4A4E7</paraID>
      <start>48</start>
      <end>50</end>
      <status>modified</status>
      <modifiedWord>三款</modifiedWord>
      <trackRevisions>false</trackRevisions>
    </reviewItem>
  </reviewItems>
  <config/>
</contractReview>
</file>

<file path=customXml/itemProps1.xml><?xml version="1.0" encoding="utf-8"?>
<ds:datastoreItem xmlns:ds="http://schemas.openxmlformats.org/officeDocument/2006/customXml" ds:itemID="{61782f2d-62c6-48ed-b544-779a63510971}">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1677</Words>
  <Characters>1784</Characters>
  <Lines>80</Lines>
  <Paragraphs>22</Paragraphs>
  <TotalTime>8</TotalTime>
  <ScaleCrop>false</ScaleCrop>
  <LinksUpToDate>false</LinksUpToDate>
  <CharactersWithSpaces>1787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2025-12-01T07:24:00Z</dcterms:created>
  <dc:creator>Administrator</dc:creator>
  <cp:lastModifiedBy>旺旺</cp:lastModifiedBy>
  <dcterms:modified xsi:type="dcterms:W3CDTF">2025-12-04T02:19:06Z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eyJoZGlkIjoiNmRjMzE4OTA0YWM3YTQzMDVjZThhY2FhZmQ2MmJmOTMiLCJ1c2VySWQiOiI0MTIyMDkxNDcifQ==</vt:lpwstr>
  </property>
  <property fmtid="{D5CDD505-2E9C-101B-9397-08002B2CF9AE}" pid="3" name="KSOProductBuildVer">
    <vt:lpwstr>2052-12.1.0.23542</vt:lpwstr>
  </property>
  <property fmtid="{D5CDD505-2E9C-101B-9397-08002B2CF9AE}" pid="4" name="ICV">
    <vt:lpwstr>8144F1E7F23641FFAE60C4BAB529C5BF_13</vt:lpwstr>
  </property>
</Properties>
</file>