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5A0AFF">
      <w:pPr>
        <w:pStyle w:val="4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硬度计技术要求</w:t>
      </w:r>
    </w:p>
    <w:tbl>
      <w:tblPr>
        <w:tblStyle w:val="8"/>
        <w:tblW w:w="0" w:type="auto"/>
        <w:tblInd w:w="21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8621"/>
      </w:tblGrid>
      <w:tr w14:paraId="409E60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1E64C1FD">
            <w:pPr>
              <w:pStyle w:val="14"/>
              <w:spacing w:before="70"/>
              <w:ind w:righ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621" w:type="dxa"/>
            <w:shd w:val="clear" w:color="auto" w:fill="D7D7D7"/>
          </w:tcPr>
          <w:p w14:paraId="1A72C939">
            <w:pPr>
              <w:pStyle w:val="14"/>
              <w:spacing w:before="70"/>
              <w:ind w:left="108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设备名称：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硬度计</w:t>
            </w:r>
          </w:p>
        </w:tc>
      </w:tr>
      <w:tr w14:paraId="4742E1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16D6E1F5">
            <w:pPr>
              <w:pStyle w:val="14"/>
              <w:spacing w:before="68"/>
              <w:ind w:righ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621" w:type="dxa"/>
            <w:shd w:val="clear" w:color="auto" w:fill="D7D7D7"/>
          </w:tcPr>
          <w:p w14:paraId="4CA73FAE">
            <w:pPr>
              <w:pStyle w:val="14"/>
              <w:spacing w:before="68"/>
              <w:ind w:left="108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数量：壹台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套）</w:t>
            </w:r>
          </w:p>
        </w:tc>
      </w:tr>
      <w:tr w14:paraId="077DC3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6BD4F621">
            <w:pPr>
              <w:pStyle w:val="14"/>
              <w:spacing w:before="78"/>
              <w:ind w:righ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621" w:type="dxa"/>
            <w:shd w:val="clear" w:color="auto" w:fill="D7D7D7"/>
          </w:tcPr>
          <w:p w14:paraId="63F34A7F">
            <w:pPr>
              <w:pStyle w:val="14"/>
              <w:spacing w:before="70"/>
              <w:ind w:left="108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设备用途及基本要求：</w:t>
            </w:r>
          </w:p>
        </w:tc>
      </w:tr>
      <w:tr w14:paraId="6168DD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7EBD2086">
            <w:pPr>
              <w:pStyle w:val="14"/>
              <w:spacing w:line="400" w:lineRule="atLeast"/>
              <w:ind w:left="108" w:right="139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3.1</w:t>
            </w:r>
          </w:p>
        </w:tc>
        <w:tc>
          <w:tcPr>
            <w:tcW w:w="8621" w:type="dxa"/>
          </w:tcPr>
          <w:p w14:paraId="3895AF0A">
            <w:pPr>
              <w:pStyle w:val="14"/>
              <w:spacing w:line="400" w:lineRule="atLeast"/>
              <w:ind w:left="108" w:right="139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用途：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测量金属及其覆盖层的硬度（努式、维氏）。</w:t>
            </w:r>
          </w:p>
        </w:tc>
      </w:tr>
      <w:tr w14:paraId="73CA4A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0F1708B9">
            <w:pPr>
              <w:pStyle w:val="14"/>
              <w:spacing w:before="1"/>
              <w:ind w:right="33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3.2</w:t>
            </w:r>
          </w:p>
        </w:tc>
        <w:tc>
          <w:tcPr>
            <w:tcW w:w="8621" w:type="dxa"/>
          </w:tcPr>
          <w:p w14:paraId="01B64E18">
            <w:pPr>
              <w:numPr>
                <w:ilvl w:val="255"/>
                <w:numId w:val="0"/>
              </w:num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基本要求</w:t>
            </w:r>
          </w:p>
          <w:p w14:paraId="49DE9AA0">
            <w:pPr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符合ASTM B578、ASTM E92、ASTM E140、ASTM E384的要求</w:t>
            </w:r>
          </w:p>
          <w:p w14:paraId="7BDED6E6">
            <w:pPr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可测量维氏硬度、努式硬度</w:t>
            </w:r>
          </w:p>
          <w:p w14:paraId="2EE7202E">
            <w:pPr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可测量覆盖层（厚度约25μm）横截面的中心硬度</w:t>
            </w:r>
          </w:p>
        </w:tc>
      </w:tr>
      <w:tr w14:paraId="495805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3297BB8E">
            <w:pPr>
              <w:pStyle w:val="14"/>
              <w:spacing w:before="70"/>
              <w:ind w:right="330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621" w:type="dxa"/>
            <w:shd w:val="clear" w:color="auto" w:fill="D7D7D7"/>
          </w:tcPr>
          <w:p w14:paraId="02030809">
            <w:pPr>
              <w:pStyle w:val="14"/>
              <w:spacing w:before="70"/>
              <w:ind w:left="108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设备制造标准及依据</w:t>
            </w:r>
          </w:p>
        </w:tc>
      </w:tr>
      <w:tr w14:paraId="1A559C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50E197B4">
            <w:pPr>
              <w:pStyle w:val="14"/>
              <w:ind w:right="330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  <w:tc>
          <w:tcPr>
            <w:tcW w:w="8621" w:type="dxa"/>
          </w:tcPr>
          <w:p w14:paraId="7985B605">
            <w:pPr>
              <w:pStyle w:val="14"/>
              <w:numPr>
                <w:ilvl w:val="0"/>
                <w:numId w:val="2"/>
              </w:numPr>
              <w:autoSpaceDE/>
              <w:autoSpaceDN/>
              <w:spacing w:line="360" w:lineRule="auto"/>
              <w:ind w:right="198"/>
              <w:rPr>
                <w:rFonts w:ascii="Times New Roman" w:hAnsi="Times New Roman" w:cs="Times New Roman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pacing w:val="-6"/>
                <w:sz w:val="24"/>
                <w:szCs w:val="24"/>
                <w:lang w:val="en-US" w:eastAsia="zh-CN"/>
              </w:rPr>
              <w:t>ASTM B578-21 Standard Test Method for Microindentation Hardness of Electroplated Coatings</w:t>
            </w:r>
          </w:p>
          <w:p w14:paraId="19A4D1A9">
            <w:pPr>
              <w:pStyle w:val="14"/>
              <w:numPr>
                <w:ilvl w:val="0"/>
                <w:numId w:val="2"/>
              </w:numPr>
              <w:autoSpaceDE/>
              <w:autoSpaceDN/>
              <w:spacing w:line="360" w:lineRule="auto"/>
              <w:ind w:right="198"/>
              <w:rPr>
                <w:rFonts w:ascii="Times New Roman" w:hAnsi="Times New Roman" w:cs="Times New Roman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pacing w:val="-6"/>
                <w:sz w:val="24"/>
                <w:szCs w:val="24"/>
                <w:lang w:val="en-US" w:eastAsia="zh-CN"/>
              </w:rPr>
              <w:t>ASTM E92-23 Standard Test Methods for Vickers Hardness and Knoop Hardness of Metallic Materials</w:t>
            </w:r>
          </w:p>
          <w:p w14:paraId="630BECFA">
            <w:pPr>
              <w:pStyle w:val="14"/>
              <w:numPr>
                <w:ilvl w:val="0"/>
                <w:numId w:val="2"/>
              </w:numPr>
              <w:autoSpaceDE/>
              <w:autoSpaceDN/>
              <w:spacing w:line="360" w:lineRule="auto"/>
              <w:ind w:right="198"/>
              <w:rPr>
                <w:rFonts w:ascii="Times New Roman" w:hAnsi="Times New Roman" w:cs="Times New Roman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pacing w:val="-6"/>
                <w:sz w:val="24"/>
                <w:szCs w:val="24"/>
                <w:lang w:val="en-US" w:eastAsia="zh-CN"/>
              </w:rPr>
              <w:t>ASTM E140-12B(2019)e1 Standard Hardness Conversion Tables for Metals Relationship Among Brinell Hardness, Vickers Hardness, Rockwell Hardness, Superficial Hardness, Knoop Hardness, Scleroscope Hardness, and Leeb Hardness</w:t>
            </w:r>
          </w:p>
          <w:p w14:paraId="5B8F0F95">
            <w:pPr>
              <w:pStyle w:val="14"/>
              <w:numPr>
                <w:ilvl w:val="0"/>
                <w:numId w:val="2"/>
              </w:numPr>
              <w:autoSpaceDE/>
              <w:autoSpaceDN/>
              <w:spacing w:line="360" w:lineRule="auto"/>
              <w:ind w:right="198"/>
              <w:rPr>
                <w:rFonts w:ascii="Times New Roman" w:hAnsi="Times New Roman" w:cs="Times New Roman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pacing w:val="-6"/>
                <w:sz w:val="24"/>
                <w:szCs w:val="24"/>
                <w:lang w:val="en-US" w:eastAsia="zh-CN"/>
              </w:rPr>
              <w:t>ASTM E384 -22 Test Method for Knoop and Vickers Hardness of Materials</w:t>
            </w:r>
          </w:p>
        </w:tc>
      </w:tr>
      <w:tr w14:paraId="325673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614F644D">
            <w:pPr>
              <w:pStyle w:val="14"/>
              <w:spacing w:before="68"/>
              <w:ind w:right="330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621" w:type="dxa"/>
            <w:shd w:val="clear" w:color="auto" w:fill="D7D7D7"/>
          </w:tcPr>
          <w:p w14:paraId="3DC7BACF">
            <w:pPr>
              <w:pStyle w:val="14"/>
              <w:spacing w:before="68"/>
              <w:ind w:left="108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设备的构成概述及要求</w:t>
            </w:r>
          </w:p>
        </w:tc>
      </w:tr>
      <w:tr w14:paraId="499854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3988FAD0">
            <w:pPr>
              <w:pStyle w:val="14"/>
              <w:spacing w:before="1"/>
              <w:ind w:right="330"/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5.1</w:t>
            </w:r>
          </w:p>
        </w:tc>
        <w:tc>
          <w:tcPr>
            <w:tcW w:w="8621" w:type="dxa"/>
          </w:tcPr>
          <w:p w14:paraId="570ADAC6">
            <w:pPr>
              <w:numPr>
                <w:ilvl w:val="0"/>
                <w:numId w:val="3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支持测量金属及其覆盖层的维氏硬度、努式硬度的硬度计，1台。</w:t>
            </w:r>
          </w:p>
          <w:p w14:paraId="5677B645">
            <w:pPr>
              <w:numPr>
                <w:ilvl w:val="0"/>
                <w:numId w:val="3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目镜、物镜、转塔、压头、影像系统、软件、标准硬度块、计算机等，可配合硬度计完成硬度测量的全部附件，共1套。</w:t>
            </w:r>
          </w:p>
        </w:tc>
      </w:tr>
      <w:tr w14:paraId="3190C6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73FB01BC">
            <w:pPr>
              <w:pStyle w:val="14"/>
              <w:spacing w:before="70"/>
              <w:ind w:right="330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621" w:type="dxa"/>
            <w:shd w:val="clear" w:color="auto" w:fill="D7D7D7"/>
          </w:tcPr>
          <w:p w14:paraId="7F7E7664">
            <w:pPr>
              <w:pStyle w:val="14"/>
              <w:spacing w:before="70"/>
              <w:ind w:left="108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主要技术参数：</w:t>
            </w:r>
          </w:p>
        </w:tc>
      </w:tr>
      <w:tr w14:paraId="2E65FE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shd w:val="clear" w:color="auto" w:fill="FFFFFF" w:themeFill="background1"/>
            <w:vAlign w:val="center"/>
          </w:tcPr>
          <w:p w14:paraId="1A0E8855">
            <w:pPr>
              <w:pStyle w:val="14"/>
              <w:spacing w:before="70"/>
              <w:ind w:right="330"/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6.1</w:t>
            </w:r>
          </w:p>
        </w:tc>
        <w:tc>
          <w:tcPr>
            <w:tcW w:w="8621" w:type="dxa"/>
            <w:shd w:val="clear" w:color="auto" w:fill="FFFFFF" w:themeFill="background1"/>
          </w:tcPr>
          <w:p w14:paraId="3A90E744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★标</w:t>
            </w: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尺：维氏硬度（HV0.001、HV0.01、HV0.015、HV0.02、HV0.025、HV0.05、HV0.1、HV0.2、HV0.3、HV0.5、HV（9.087N）、HV（19.61N））；努式硬度（HK0.001、HK0.01、HK0.015、HK0.02、HK0.025、HK0.05、HK0.1、HK0.2、HK0.3、HK0.5、HK（9.087N）、HK（19.61N））。</w:t>
            </w:r>
          </w:p>
          <w:p w14:paraId="6404F2FE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★试验力：</w:t>
            </w:r>
          </w:p>
          <w:p w14:paraId="2CEAEB91">
            <w:pPr>
              <w:numPr>
                <w:ilvl w:val="0"/>
                <w:numId w:val="5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维氏硬度：0.001kgf、0.01kgf、0.015kgf、0.02kgf、0.025kgf、0.05kgf、0.1kgf、0.2kgf、0.3kgf、0.5kgf、1kgf、2kgf</w:t>
            </w:r>
          </w:p>
          <w:p w14:paraId="4B5BE5BA">
            <w:pPr>
              <w:numPr>
                <w:ilvl w:val="0"/>
                <w:numId w:val="5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努式硬度：0.001kgf、0.01kgf、0.015kgf、0.02kgf、0.025kgf、0.05kgf、0.1kgf、0.2kgf、0.3kgf、0.5kgf、1kgf、2kgf）。</w:t>
            </w:r>
          </w:p>
          <w:p w14:paraId="1F88F86C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试验力的施加：从初始施加试验力直到达到全部试验力的时间≤10秒；压头移动速率是15~70μm/S之间的某一速度（通常不可调节）；全部试验力时间为10~15秒；若需要更长的施加试验力的时间，则公差为±2秒；自动加载、自动保压、自动卸荷。</w:t>
            </w:r>
          </w:p>
          <w:p w14:paraId="64AF17A1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自动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转塔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：6位自动转塔，可同时安装2个压头（1个维氏压头+1个努式压头）、4个物镜；压头与物镜可自动转换。</w:t>
            </w:r>
          </w:p>
          <w:p w14:paraId="2C2A77DF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★压头：标配1个维氏压头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（B级）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、1个努式压头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（B级）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。</w:t>
            </w:r>
          </w:p>
          <w:p w14:paraId="74456D91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目镜：标配1个10倍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光学目镜。</w:t>
            </w:r>
          </w:p>
          <w:p w14:paraId="26893F6D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★物镜：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4个长工作距离高品质物镜（具有合适的数值孔径），1个10倍、1个20倍、1个50倍、1个100倍</w:t>
            </w:r>
          </w:p>
          <w:p w14:paraId="7A52F3DD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配备用于30㎜~35㎜镶嵌样品的专用夹具，保证在任意测量过程中样品夹持牢固。</w:t>
            </w:r>
          </w:p>
          <w:p w14:paraId="5B62591F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硬度计应能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保持试样的平面垂直于压头轴线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，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偏差＜±1°。</w:t>
            </w:r>
          </w:p>
          <w:p w14:paraId="6701F392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显示：设备自带高分辨率显示屏，可显示所有预测量有关的信息。硬度值保留三位有效数字，且同步显示符合ASTM E140的硬度转换值（用户可按需选择、切换洛氏硬度、布氏硬度）。</w:t>
            </w:r>
          </w:p>
          <w:p w14:paraId="50EA04CD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自动工作台（X、Y、Z，3轴），尺寸＞150㎜×150㎜，行程＞50㎜×50㎜，分辨率：1μm；主要应满足镶嵌式样（φ30㎜）的测量要求，可多种方式自由移动。</w:t>
            </w:r>
          </w:p>
          <w:p w14:paraId="3CC7015E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试样高度：0~65㎜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。</w:t>
            </w:r>
          </w:p>
          <w:p w14:paraId="398C4545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对于对角线长度为1~200μm的压痕，试验机测量设备应能以0.1μm的增量报告对角线的长度。</w:t>
            </w:r>
          </w:p>
          <w:p w14:paraId="554A44E7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必须能在镀层（厚度约25μm~38μm）横截面的中心附近作出压痕。</w:t>
            </w:r>
          </w:p>
          <w:p w14:paraId="1D422DC8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可自动生成符合ASTM E92、ASTM E384要求的报告内容。</w:t>
            </w:r>
          </w:p>
          <w:p w14:paraId="0EE31FA9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交货时应分别附带符合ASTM E92、ASTM E384要求的关于硬度计、压头与硬度块的计量报告（第三方检测机构出具）；执行压头与硬度块标定的机构应为国际实验室认可合作组织（ILAC）公认的按ISO/IEC17011要求运作的某已认可团体，按ISO 17025（或等效标准）要求认可的机构。</w:t>
            </w:r>
          </w:p>
          <w:p w14:paraId="3A424D3E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影像系统：1个像素≥500万的大尺寸高清摄像头，精确定位打压位置。</w:t>
            </w:r>
          </w:p>
          <w:p w14:paraId="1C9A1BDE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软件功能：可自由选择、标尺、保压时间、曲线、转换值、报告模板等，支持用户编辑报告形式；可使用全高清摄像头查看测试点的位置，自动打压并测量所有压痕；自动对焦、自动测量；生成、打印符合ASTM E92、ASTM E384要求的报告；支持免费升级。</w:t>
            </w:r>
          </w:p>
          <w:p w14:paraId="5F2BCD0B">
            <w:pPr>
              <w:numPr>
                <w:ilvl w:val="0"/>
                <w:numId w:val="4"/>
              </w:numPr>
              <w:adjustRightInd w:val="0"/>
              <w:snapToGri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计算机：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英特尔12代i5-12400、16GB内存、512G固态硬盘+1TB机械硬盘、24寸液晶显示器，预装Windows10/11操作系统，Office办公套件，品牌联想、戴尔、惠普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。</w:t>
            </w:r>
          </w:p>
        </w:tc>
      </w:tr>
      <w:tr w14:paraId="6FD235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824" w:type="dxa"/>
            <w:tcBorders>
              <w:right w:val="single" w:color="D7D7D7" w:sz="4" w:space="0"/>
            </w:tcBorders>
            <w:vAlign w:val="center"/>
          </w:tcPr>
          <w:p w14:paraId="19D1325D">
            <w:pPr>
              <w:pStyle w:val="14"/>
              <w:spacing w:before="95"/>
              <w:ind w:left="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8621" w:type="dxa"/>
            <w:shd w:val="clear" w:color="auto" w:fill="D7D7D7"/>
          </w:tcPr>
          <w:p w14:paraId="0985DF3F">
            <w:pPr>
              <w:pStyle w:val="14"/>
              <w:spacing w:before="7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>质保</w:t>
            </w:r>
          </w:p>
        </w:tc>
      </w:tr>
      <w:tr w14:paraId="1FA75F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1" w:hRule="atLeast"/>
        </w:trPr>
        <w:tc>
          <w:tcPr>
            <w:tcW w:w="824" w:type="dxa"/>
            <w:vAlign w:val="center"/>
          </w:tcPr>
          <w:p w14:paraId="6E6D733C">
            <w:pPr>
              <w:pStyle w:val="14"/>
              <w:numPr>
                <w:ilvl w:val="255"/>
                <w:numId w:val="0"/>
              </w:numPr>
              <w:shd w:val="clear" w:color="auto" w:fill="FFFFFF" w:themeFill="background1"/>
              <w:spacing w:line="360" w:lineRule="auto"/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7.1</w:t>
            </w:r>
          </w:p>
        </w:tc>
        <w:tc>
          <w:tcPr>
            <w:tcW w:w="8621" w:type="dxa"/>
          </w:tcPr>
          <w:p w14:paraId="77EAC6A5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附件及备件</w:t>
            </w:r>
          </w:p>
          <w:p w14:paraId="04D39FE8">
            <w:pPr>
              <w:pStyle w:val="14"/>
              <w:numPr>
                <w:ilvl w:val="255"/>
                <w:numId w:val="0"/>
              </w:numPr>
              <w:shd w:val="clear" w:color="auto" w:fill="FFFFFF" w:themeFill="background1"/>
              <w:spacing w:line="360" w:lineRule="auto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7.1.1 卖方提供的设备应当配备所有必要的工作配件及附属部件，以确保在买方指定的作业场所完成安装与调试作业后，设备能够立即投入</w:t>
            </w:r>
            <w:r>
              <w:rPr>
                <w:rFonts w:hint="eastAsia"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适用</w:t>
            </w: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。</w:t>
            </w:r>
          </w:p>
          <w:p w14:paraId="45AA336A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7.1.2 卖方负有提供配件及附属部件清单的责任，该清单应详尽列出各项目的数量、单价（须注明有效期限）、制造商信息以及遵循的标准等关键信息。若涉及的“配件与附件”不存在，卖方则无需编制并提供该清单。</w:t>
            </w:r>
          </w:p>
          <w:p w14:paraId="2D8342D3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7.1.3 卖方需提供设备的出厂合格证书、装箱明细表、操作说明书等文件，形式包括纸质文档</w:t>
            </w:r>
            <w:r>
              <w:rPr>
                <w:rFonts w:hint="eastAsia" w:ascii="Times New Roman" w:hAnsi="Times New Roman" w:cs="Times New Roman"/>
                <w:spacing w:val="4"/>
                <w:szCs w:val="24"/>
                <w:lang w:val="en-US" w:eastAsia="zh-CN"/>
              </w:rPr>
              <w:t>或</w:t>
            </w: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电子版（以U盘为载体）。</w:t>
            </w:r>
          </w:p>
        </w:tc>
      </w:tr>
      <w:tr w14:paraId="5D29BA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73173D84">
            <w:pPr>
              <w:pStyle w:val="14"/>
              <w:spacing w:before="233"/>
              <w:ind w:right="361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lang w:val="en-US" w:eastAsia="zh-CN"/>
              </w:rPr>
              <w:t>7</w:t>
            </w:r>
            <w:r>
              <w:rPr>
                <w:rFonts w:ascii="Times New Roman" w:hAnsi="Times New Roman" w:cs="Times New Roman"/>
                <w:sz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lang w:val="en-US" w:eastAsia="zh-CN"/>
              </w:rPr>
              <w:t>2</w:t>
            </w:r>
          </w:p>
        </w:tc>
        <w:tc>
          <w:tcPr>
            <w:tcW w:w="8621" w:type="dxa"/>
          </w:tcPr>
          <w:p w14:paraId="5D9FE2EB">
            <w:pPr>
              <w:pStyle w:val="14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zh-CN"/>
              </w:rPr>
              <w:t>预验收、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安装、调试</w:t>
            </w:r>
          </w:p>
          <w:p w14:paraId="59D135D9">
            <w:pPr>
              <w:pStyle w:val="14"/>
              <w:numPr>
                <w:ilvl w:val="255"/>
                <w:numId w:val="0"/>
              </w:numPr>
              <w:shd w:val="clear" w:color="auto" w:fill="FFFFFF" w:themeFill="background1"/>
              <w:spacing w:line="360" w:lineRule="auto"/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7.2.1预验收：买卖双方于买方现场进行开箱验货操作。在此过程中，卖方负责卸货及开箱事宜。双方需核对发货清单，进行目视检查，确保不存在任何损坏、缺陷及数量不符等问题，并对检查情况做详细记录，最后由双方签字确认。</w:t>
            </w:r>
          </w:p>
          <w:p w14:paraId="4A0BB5ED">
            <w:pPr>
              <w:pStyle w:val="14"/>
              <w:numPr>
                <w:ilvl w:val="255"/>
                <w:numId w:val="0"/>
              </w:numPr>
              <w:shd w:val="clear" w:color="auto" w:fill="FFFFFF" w:themeFill="background1"/>
              <w:spacing w:line="360" w:lineRule="auto"/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7.2.2 若货物不符合技术要求或双方之约定，卖方应无偿进行更换或补发，并承担由此产生的费用。</w:t>
            </w:r>
          </w:p>
          <w:p w14:paraId="3E4F14BF">
            <w:pPr>
              <w:pStyle w:val="14"/>
              <w:numPr>
                <w:ilvl w:val="255"/>
                <w:numId w:val="0"/>
              </w:numPr>
              <w:shd w:val="clear" w:color="auto" w:fill="FFFFFF" w:themeFill="background1"/>
              <w:spacing w:line="360" w:lineRule="auto"/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7.2.3 若双方对设备质量、规格等产生分歧，买方有权委托第三方检测机构进行复验。检验机构出具的检验证明将作为买方向卖方提出更换、维修、补齐、索赔的有效证据。卖方应承担全部费用（包括第三方机构检测费用）。</w:t>
            </w:r>
          </w:p>
          <w:p w14:paraId="7ADBC072">
            <w:pPr>
              <w:pStyle w:val="14"/>
              <w:numPr>
                <w:ilvl w:val="255"/>
                <w:numId w:val="0"/>
              </w:numPr>
              <w:shd w:val="clear" w:color="auto" w:fill="FFFFFF" w:themeFill="background1"/>
              <w:spacing w:line="360" w:lineRule="auto"/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7.2.4 卖方负责设备的安装与调试工作，并承担相应的全部费用。买方派遣相关人员进行工程监理，卖方有义务和责任解答买方提出的相关问题。</w:t>
            </w:r>
          </w:p>
          <w:p w14:paraId="5B72C62E">
            <w:pPr>
              <w:pStyle w:val="14"/>
              <w:numPr>
                <w:ilvl w:val="255"/>
                <w:numId w:val="0"/>
              </w:numPr>
              <w:shd w:val="clear" w:color="auto" w:fill="FFFFFF" w:themeFill="background1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7.2.5 卖方应对安装和调试过程进行详细记录（记录内容包含但不限于安装说明、调试项目、合格标准等）。当安装、调试结束且各项目、指标、参数等符合相关要求后，视为调试合格，双方应签字确认并进行备案。</w:t>
            </w:r>
          </w:p>
        </w:tc>
      </w:tr>
      <w:tr w14:paraId="5A0679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24EF9653">
            <w:pPr>
              <w:pStyle w:val="14"/>
              <w:numPr>
                <w:ilvl w:val="255"/>
                <w:numId w:val="0"/>
              </w:numPr>
              <w:shd w:val="clear" w:color="auto" w:fill="FFFFFF" w:themeFill="background1"/>
              <w:spacing w:line="360" w:lineRule="auto"/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7.3</w:t>
            </w:r>
          </w:p>
        </w:tc>
        <w:tc>
          <w:tcPr>
            <w:tcW w:w="8621" w:type="dxa"/>
          </w:tcPr>
          <w:p w14:paraId="1666B7CF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培训</w:t>
            </w:r>
          </w:p>
          <w:p w14:paraId="7DA648E0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7.3.1 卖方负责在生产现场对买方员工进行设备使用及维护的专业培训，此条款适用于操作复杂或价值较高的设备。</w:t>
            </w:r>
          </w:p>
          <w:p w14:paraId="6F46C0EB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7.3.2 双方应共同协商制定培训方案，包括课程内容、课时安排、参训人员及考核标准等细节。此规定仅适用于复杂或高价值设备的培训。</w:t>
            </w:r>
          </w:p>
          <w:p w14:paraId="0863E7D8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7.3.3 受训人员必须通过考核，并在获得相应证书（若有）后方可视为培训合格。该规则仅适用于复杂或高价值设备的培训。</w:t>
            </w:r>
          </w:p>
          <w:p w14:paraId="7BC1EF4E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7.3.4 培训相关费用由卖方承担，除非另有明确列出的培训费用。此条款适用于复杂或高价值设备的培训。对于操作简便、易于自学掌握的设备，无需提供专门培训。</w:t>
            </w:r>
          </w:p>
        </w:tc>
      </w:tr>
      <w:tr w14:paraId="41A928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456188C8">
            <w:pPr>
              <w:pStyle w:val="14"/>
              <w:numPr>
                <w:ilvl w:val="255"/>
                <w:numId w:val="0"/>
              </w:numPr>
              <w:shd w:val="clear" w:color="auto" w:fill="FFFFFF" w:themeFill="background1"/>
              <w:spacing w:line="360" w:lineRule="auto"/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7.4</w:t>
            </w:r>
          </w:p>
        </w:tc>
        <w:tc>
          <w:tcPr>
            <w:tcW w:w="8621" w:type="dxa"/>
          </w:tcPr>
          <w:p w14:paraId="49C9376C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终验收</w:t>
            </w:r>
          </w:p>
          <w:p w14:paraId="4760111C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7.4.1 设备安装与调试须满足规定标准，后方可执行最终验收程序。</w:t>
            </w:r>
          </w:p>
          <w:p w14:paraId="4B7D4812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7.4.2 验收依据包括设备出厂检验标准、技术规格、适用工艺规程、合同条款以及国家或行业标准等文件，相关细节应在双方签署的技术协议中明确约定。</w:t>
            </w:r>
          </w:p>
          <w:p w14:paraId="2042BFC5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7.4.3 双方代表应在现场对设备进行逐台、逐项的实物及功能性能验收，卖方需提交书面文件，证实设备、设施符合验收标准，并展示其功能。</w:t>
            </w:r>
          </w:p>
          <w:p w14:paraId="3BC3AB41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7.4.4 在设备最终验收合格之前，所有因设备调试、优化等产生的费用均由卖方负责。</w:t>
            </w:r>
          </w:p>
          <w:p w14:paraId="5C8DA96A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7.4.5 验收项目完成后，双方应签字确认，以完成最终验收。最终验收应至少包括预验收合格文件、现场开箱检验合格资料、交接清单、安装记录、调试报告、培训合格证明、产品合格证及操作手册等文档。</w:t>
            </w:r>
          </w:p>
        </w:tc>
      </w:tr>
      <w:tr w14:paraId="2CE007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24" w:type="dxa"/>
            <w:vAlign w:val="center"/>
          </w:tcPr>
          <w:p w14:paraId="117C78FB">
            <w:pPr>
              <w:pStyle w:val="14"/>
              <w:numPr>
                <w:ilvl w:val="255"/>
                <w:numId w:val="0"/>
              </w:numPr>
              <w:shd w:val="clear" w:color="auto" w:fill="FFFFFF" w:themeFill="background1"/>
              <w:spacing w:line="360" w:lineRule="auto"/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 w:val="24"/>
                <w:szCs w:val="24"/>
                <w:lang w:val="en-US" w:eastAsia="zh-CN"/>
              </w:rPr>
              <w:t>7.5</w:t>
            </w:r>
          </w:p>
        </w:tc>
        <w:tc>
          <w:tcPr>
            <w:tcW w:w="8621" w:type="dxa"/>
          </w:tcPr>
          <w:p w14:paraId="6F39E895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质量保证</w:t>
            </w:r>
          </w:p>
          <w:p w14:paraId="1B9C8D33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7.5.1 本条款规定，卖方须确保所供应的设备、设施及其配件均为未经使用之全新物品。</w:t>
            </w:r>
          </w:p>
          <w:p w14:paraId="5FE194BF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7.5.2 设备的各组成部分，除非另有说明为消耗性材料，均应享有至少为期一年的质量保修服务。</w:t>
            </w:r>
          </w:p>
          <w:p w14:paraId="6C145E91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7.5.3 卖方必须拥有稳定可靠的供货保障能力，在保修期限内，卖方应迅速提供维修服务和技术支持，具体服务标准如下：在收到服务请求后4小时内作出响应，48小时内抵达现场，并在5个工作日内完成故障排除。</w:t>
            </w:r>
          </w:p>
          <w:p w14:paraId="647CD231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7.5.4 对于由非人为因素导致的设备故障或损坏，卖方应负责维修，并承担由此产生的全部费用。</w:t>
            </w:r>
          </w:p>
          <w:p w14:paraId="239882D6">
            <w:pPr>
              <w:pStyle w:val="7"/>
              <w:numPr>
                <w:ilvl w:val="255"/>
                <w:numId w:val="0"/>
              </w:numPr>
              <w:shd w:val="clear" w:color="auto" w:fill="FFFFFF" w:themeFill="background1"/>
              <w:spacing w:before="0" w:beforeAutospacing="0" w:afterAutospacing="0" w:line="360" w:lineRule="auto"/>
              <w:textAlignment w:val="baseline"/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spacing w:val="4"/>
                <w:szCs w:val="24"/>
                <w:lang w:val="en-US" w:eastAsia="zh-CN"/>
              </w:rPr>
              <w:t>7.5.5 保修期届满后，卖方应继续提供终身维修服务，并提供必要的备件及技术支持。此外，对于软硬件的升级和扩展需求，卖方应提供相应的价格优惠。</w:t>
            </w:r>
          </w:p>
        </w:tc>
      </w:tr>
    </w:tbl>
    <w:p w14:paraId="29996A25">
      <w:pPr>
        <w:rPr>
          <w:rFonts w:ascii="Times New Roman" w:hAnsi="Times New Roman" w:cs="Times New Roman"/>
        </w:rPr>
      </w:pPr>
    </w:p>
    <w:sectPr>
      <w:footerReference r:id="rId3" w:type="default"/>
      <w:pgSz w:w="12240" w:h="15840"/>
      <w:pgMar w:top="1440" w:right="740" w:bottom="1420" w:left="1720" w:header="0" w:footer="1228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A6BCBE">
    <w:pPr>
      <w:pStyle w:val="4"/>
      <w:spacing w:line="14" w:lineRule="auto"/>
      <w:rPr>
        <w:rFonts w:hint="eastAsia"/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3819525</wp:posOffset>
              </wp:positionH>
              <wp:positionV relativeFrom="page">
                <wp:posOffset>9087485</wp:posOffset>
              </wp:positionV>
              <wp:extent cx="134620" cy="139700"/>
              <wp:effectExtent l="0" t="0" r="0" b="0"/>
              <wp:wrapNone/>
              <wp:docPr id="61" name="文本框 6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46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8E20988">
                          <w:pPr>
                            <w:spacing w:line="203" w:lineRule="exact"/>
                            <w:ind w:left="60"/>
                            <w:rPr>
                              <w:rFonts w:hint="eastAsia" w:ascii="Calibri"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00.75pt;margin-top:715.55pt;height:11pt;width:10.6pt;mso-position-horizontal-relative:page;mso-position-vertical-relative:page;z-index:-251657216;mso-width-relative:page;mso-height-relative:page;" filled="f" stroked="f" coordsize="21600,21600" o:gfxdata="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Al2IQLaAAAADQEAAA8AAAAAAAAAAQAgAAAAIgAAAGRycy9kb3ducmV2LnhtbFBL&#10;AQIUABQAAAAIAIdO4kCXoHMNuwEAAHMDAAAOAAAAAAAAAAEAIAAAACk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8E20988">
                    <w:pPr>
                      <w:spacing w:line="203" w:lineRule="exact"/>
                      <w:ind w:left="60"/>
                      <w:rPr>
                        <w:rFonts w:hint="eastAsia" w:ascii="Calibri"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CD8FCD"/>
    <w:multiLevelType w:val="singleLevel"/>
    <w:tmpl w:val="93CD8FCD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B3E219E5"/>
    <w:multiLevelType w:val="singleLevel"/>
    <w:tmpl w:val="B3E219E5"/>
    <w:lvl w:ilvl="0" w:tentative="0">
      <w:start w:val="1"/>
      <w:numFmt w:val="decimal"/>
      <w:suff w:val="nothing"/>
      <w:lvlText w:val="（%1）"/>
      <w:lvlJc w:val="left"/>
    </w:lvl>
  </w:abstractNum>
  <w:abstractNum w:abstractNumId="2">
    <w:nsid w:val="F0F09E52"/>
    <w:multiLevelType w:val="singleLevel"/>
    <w:tmpl w:val="F0F09E52"/>
    <w:lvl w:ilvl="0" w:tentative="0">
      <w:start w:val="1"/>
      <w:numFmt w:val="bullet"/>
      <w:lvlText w:val=""/>
      <w:lvlJc w:val="left"/>
      <w:pPr>
        <w:tabs>
          <w:tab w:val="left" w:pos="840"/>
        </w:tabs>
        <w:ind w:left="1260" w:hanging="420"/>
      </w:pPr>
      <w:rPr>
        <w:rFonts w:hint="default" w:ascii="Wingdings" w:hAnsi="Wingdings"/>
      </w:rPr>
    </w:lvl>
  </w:abstractNum>
  <w:abstractNum w:abstractNumId="3">
    <w:nsid w:val="3EDC6C33"/>
    <w:multiLevelType w:val="singleLevel"/>
    <w:tmpl w:val="3EDC6C33"/>
    <w:lvl w:ilvl="0" w:tentative="0">
      <w:start w:val="1"/>
      <w:numFmt w:val="decimal"/>
      <w:suff w:val="nothing"/>
      <w:lvlText w:val="（%1）"/>
      <w:lvlJc w:val="left"/>
    </w:lvl>
  </w:abstractNum>
  <w:abstractNum w:abstractNumId="4">
    <w:nsid w:val="67038930"/>
    <w:multiLevelType w:val="singleLevel"/>
    <w:tmpl w:val="67038930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documentProtection w:enforcement="0"/>
  <w:defaultTabStop w:val="720"/>
  <w:drawingGridHorizontalSpacing w:val="110"/>
  <w:noPunctuationKerning w:val="1"/>
  <w:characterSpacingControl w:val="doNotCompress"/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dhNjg5NjMyNmIyYTQ5ODQ4NmU0ODFlZWQxM2Y4N2QifQ=="/>
  </w:docVars>
  <w:rsids>
    <w:rsidRoot w:val="006C2942"/>
    <w:rsid w:val="00004E0D"/>
    <w:rsid w:val="00011378"/>
    <w:rsid w:val="000964EE"/>
    <w:rsid w:val="00133153"/>
    <w:rsid w:val="001400F6"/>
    <w:rsid w:val="00163D7F"/>
    <w:rsid w:val="001A1941"/>
    <w:rsid w:val="001A3D2D"/>
    <w:rsid w:val="001B24E9"/>
    <w:rsid w:val="001B6B1D"/>
    <w:rsid w:val="001E5EFB"/>
    <w:rsid w:val="002749AA"/>
    <w:rsid w:val="00444E90"/>
    <w:rsid w:val="004F7D0F"/>
    <w:rsid w:val="005A2EC2"/>
    <w:rsid w:val="005D4603"/>
    <w:rsid w:val="005F6301"/>
    <w:rsid w:val="006C2942"/>
    <w:rsid w:val="007B3DA3"/>
    <w:rsid w:val="00832919"/>
    <w:rsid w:val="0085145D"/>
    <w:rsid w:val="00862842"/>
    <w:rsid w:val="009144A8"/>
    <w:rsid w:val="009F0E1A"/>
    <w:rsid w:val="00AC0E3B"/>
    <w:rsid w:val="00B10476"/>
    <w:rsid w:val="00B765D7"/>
    <w:rsid w:val="00E0391B"/>
    <w:rsid w:val="00F43C49"/>
    <w:rsid w:val="00F61769"/>
    <w:rsid w:val="00F95686"/>
    <w:rsid w:val="00FB0E3C"/>
    <w:rsid w:val="00FB73A5"/>
    <w:rsid w:val="00FC31A1"/>
    <w:rsid w:val="00FD1EF2"/>
    <w:rsid w:val="012860FF"/>
    <w:rsid w:val="016E2B68"/>
    <w:rsid w:val="01D779B2"/>
    <w:rsid w:val="01F23506"/>
    <w:rsid w:val="0263412A"/>
    <w:rsid w:val="02707362"/>
    <w:rsid w:val="0301396B"/>
    <w:rsid w:val="039D32E8"/>
    <w:rsid w:val="03B32AD2"/>
    <w:rsid w:val="042949E3"/>
    <w:rsid w:val="0451447E"/>
    <w:rsid w:val="048653C5"/>
    <w:rsid w:val="05117EEB"/>
    <w:rsid w:val="05A47B2D"/>
    <w:rsid w:val="05E12740"/>
    <w:rsid w:val="06093C5D"/>
    <w:rsid w:val="07175D1E"/>
    <w:rsid w:val="07244414"/>
    <w:rsid w:val="07820202"/>
    <w:rsid w:val="088B4361"/>
    <w:rsid w:val="08A52B39"/>
    <w:rsid w:val="08C05AA0"/>
    <w:rsid w:val="08CB5EC6"/>
    <w:rsid w:val="0931587B"/>
    <w:rsid w:val="094822F4"/>
    <w:rsid w:val="09793E68"/>
    <w:rsid w:val="09AF4121"/>
    <w:rsid w:val="09F9539C"/>
    <w:rsid w:val="0A075A48"/>
    <w:rsid w:val="0A7E5025"/>
    <w:rsid w:val="0A922D36"/>
    <w:rsid w:val="0AE44A7F"/>
    <w:rsid w:val="0BC67500"/>
    <w:rsid w:val="0BFF0C6A"/>
    <w:rsid w:val="0C774816"/>
    <w:rsid w:val="0CC71A83"/>
    <w:rsid w:val="0CD87A69"/>
    <w:rsid w:val="0DCC18B3"/>
    <w:rsid w:val="0E106C61"/>
    <w:rsid w:val="0E3E49BB"/>
    <w:rsid w:val="0E476D2C"/>
    <w:rsid w:val="0EE25AD7"/>
    <w:rsid w:val="0F3F2223"/>
    <w:rsid w:val="0F4347BC"/>
    <w:rsid w:val="0F995677"/>
    <w:rsid w:val="103F5AD3"/>
    <w:rsid w:val="11697B20"/>
    <w:rsid w:val="11E10668"/>
    <w:rsid w:val="12042985"/>
    <w:rsid w:val="124F2FA0"/>
    <w:rsid w:val="12626F04"/>
    <w:rsid w:val="12882D72"/>
    <w:rsid w:val="128E4764"/>
    <w:rsid w:val="13373653"/>
    <w:rsid w:val="13E1581F"/>
    <w:rsid w:val="140C22AB"/>
    <w:rsid w:val="14146639"/>
    <w:rsid w:val="14253892"/>
    <w:rsid w:val="147225D9"/>
    <w:rsid w:val="14EF2789"/>
    <w:rsid w:val="152811E7"/>
    <w:rsid w:val="15FD6214"/>
    <w:rsid w:val="17B17AB1"/>
    <w:rsid w:val="17F72EFF"/>
    <w:rsid w:val="18044237"/>
    <w:rsid w:val="19063631"/>
    <w:rsid w:val="197778B7"/>
    <w:rsid w:val="19D2285E"/>
    <w:rsid w:val="1A0F03C6"/>
    <w:rsid w:val="1A681208"/>
    <w:rsid w:val="1B0D798E"/>
    <w:rsid w:val="1B2267B7"/>
    <w:rsid w:val="1B490D91"/>
    <w:rsid w:val="1BCD6688"/>
    <w:rsid w:val="1BE35104"/>
    <w:rsid w:val="1C0579ED"/>
    <w:rsid w:val="1C695407"/>
    <w:rsid w:val="1C966826"/>
    <w:rsid w:val="1CDF0421"/>
    <w:rsid w:val="1D126A49"/>
    <w:rsid w:val="1D2018E1"/>
    <w:rsid w:val="1D2E60C1"/>
    <w:rsid w:val="1D435933"/>
    <w:rsid w:val="1DCB1496"/>
    <w:rsid w:val="1E060AE8"/>
    <w:rsid w:val="1E34479D"/>
    <w:rsid w:val="1E4159C9"/>
    <w:rsid w:val="1E460992"/>
    <w:rsid w:val="1E55777F"/>
    <w:rsid w:val="1E8E6C6A"/>
    <w:rsid w:val="1EA91809"/>
    <w:rsid w:val="1EC65D3D"/>
    <w:rsid w:val="1F051B18"/>
    <w:rsid w:val="1FA27305"/>
    <w:rsid w:val="1FA439AA"/>
    <w:rsid w:val="1FE94B5A"/>
    <w:rsid w:val="20A774A8"/>
    <w:rsid w:val="216455A8"/>
    <w:rsid w:val="22075C59"/>
    <w:rsid w:val="223306F6"/>
    <w:rsid w:val="224138CC"/>
    <w:rsid w:val="228E42E2"/>
    <w:rsid w:val="22951EAF"/>
    <w:rsid w:val="23DB3D90"/>
    <w:rsid w:val="24136B83"/>
    <w:rsid w:val="24A30154"/>
    <w:rsid w:val="24D64800"/>
    <w:rsid w:val="250242B2"/>
    <w:rsid w:val="25705803"/>
    <w:rsid w:val="25AC31DE"/>
    <w:rsid w:val="25D95944"/>
    <w:rsid w:val="25F211C5"/>
    <w:rsid w:val="263E4E30"/>
    <w:rsid w:val="265359DC"/>
    <w:rsid w:val="26B26BA7"/>
    <w:rsid w:val="272C6B15"/>
    <w:rsid w:val="2735148E"/>
    <w:rsid w:val="278F197C"/>
    <w:rsid w:val="27C32548"/>
    <w:rsid w:val="28472AD0"/>
    <w:rsid w:val="2898301B"/>
    <w:rsid w:val="28C623C8"/>
    <w:rsid w:val="296E1A70"/>
    <w:rsid w:val="29750555"/>
    <w:rsid w:val="29AC58EE"/>
    <w:rsid w:val="29E64FC0"/>
    <w:rsid w:val="2A477B66"/>
    <w:rsid w:val="2A781B3D"/>
    <w:rsid w:val="2A7A5C2D"/>
    <w:rsid w:val="2AB81998"/>
    <w:rsid w:val="2ADB575D"/>
    <w:rsid w:val="2B0B4AD7"/>
    <w:rsid w:val="2B5F1FB7"/>
    <w:rsid w:val="2BE54E5D"/>
    <w:rsid w:val="2CD511B9"/>
    <w:rsid w:val="2DBF4147"/>
    <w:rsid w:val="2DD7442F"/>
    <w:rsid w:val="2DE1211E"/>
    <w:rsid w:val="2E247D56"/>
    <w:rsid w:val="2E4C6C84"/>
    <w:rsid w:val="2EF97A69"/>
    <w:rsid w:val="2F1A7FDA"/>
    <w:rsid w:val="2F920DA6"/>
    <w:rsid w:val="2FA72102"/>
    <w:rsid w:val="2FAD6DD3"/>
    <w:rsid w:val="2FB87118"/>
    <w:rsid w:val="30920A7F"/>
    <w:rsid w:val="309645C5"/>
    <w:rsid w:val="30984653"/>
    <w:rsid w:val="3098505F"/>
    <w:rsid w:val="30EF1F82"/>
    <w:rsid w:val="315774FF"/>
    <w:rsid w:val="31FE2DF5"/>
    <w:rsid w:val="326849E7"/>
    <w:rsid w:val="32CF1923"/>
    <w:rsid w:val="332A612E"/>
    <w:rsid w:val="339C412A"/>
    <w:rsid w:val="33A53D1B"/>
    <w:rsid w:val="33BA4C48"/>
    <w:rsid w:val="33EE55CB"/>
    <w:rsid w:val="341B35D7"/>
    <w:rsid w:val="34983880"/>
    <w:rsid w:val="34C4269D"/>
    <w:rsid w:val="34C77792"/>
    <w:rsid w:val="34DB230B"/>
    <w:rsid w:val="355735F6"/>
    <w:rsid w:val="35E27031"/>
    <w:rsid w:val="361139B2"/>
    <w:rsid w:val="36851A9F"/>
    <w:rsid w:val="372846AD"/>
    <w:rsid w:val="37C37C35"/>
    <w:rsid w:val="3808782B"/>
    <w:rsid w:val="382D42DF"/>
    <w:rsid w:val="38373DAE"/>
    <w:rsid w:val="38395716"/>
    <w:rsid w:val="38B12869"/>
    <w:rsid w:val="38C07E8F"/>
    <w:rsid w:val="39D87059"/>
    <w:rsid w:val="39D91F57"/>
    <w:rsid w:val="3A614714"/>
    <w:rsid w:val="3A8D0F72"/>
    <w:rsid w:val="3B1703A8"/>
    <w:rsid w:val="3BC8543C"/>
    <w:rsid w:val="3BCB2856"/>
    <w:rsid w:val="3BEE6766"/>
    <w:rsid w:val="3BFA13DD"/>
    <w:rsid w:val="3D28607A"/>
    <w:rsid w:val="3D865DC4"/>
    <w:rsid w:val="3DA46DF1"/>
    <w:rsid w:val="3DD946B7"/>
    <w:rsid w:val="3DDF1F52"/>
    <w:rsid w:val="3E597CFE"/>
    <w:rsid w:val="3E921340"/>
    <w:rsid w:val="3EDD20ED"/>
    <w:rsid w:val="3F134E72"/>
    <w:rsid w:val="3F2416B0"/>
    <w:rsid w:val="3F603FF2"/>
    <w:rsid w:val="3FCD65E6"/>
    <w:rsid w:val="40185BA1"/>
    <w:rsid w:val="403368B4"/>
    <w:rsid w:val="40A22C28"/>
    <w:rsid w:val="40AB4BC0"/>
    <w:rsid w:val="41970A1B"/>
    <w:rsid w:val="419B0287"/>
    <w:rsid w:val="41A970CC"/>
    <w:rsid w:val="41BB295C"/>
    <w:rsid w:val="41E81433"/>
    <w:rsid w:val="42E46F22"/>
    <w:rsid w:val="43595424"/>
    <w:rsid w:val="43A049C2"/>
    <w:rsid w:val="43E85FF5"/>
    <w:rsid w:val="44305883"/>
    <w:rsid w:val="4510224D"/>
    <w:rsid w:val="453B43C5"/>
    <w:rsid w:val="454125FE"/>
    <w:rsid w:val="4563415B"/>
    <w:rsid w:val="457509DB"/>
    <w:rsid w:val="45AD34DF"/>
    <w:rsid w:val="45E306D3"/>
    <w:rsid w:val="463946F5"/>
    <w:rsid w:val="468671F8"/>
    <w:rsid w:val="46D24C58"/>
    <w:rsid w:val="47080EBE"/>
    <w:rsid w:val="47541BDC"/>
    <w:rsid w:val="48430DA0"/>
    <w:rsid w:val="48B3323E"/>
    <w:rsid w:val="495D52A4"/>
    <w:rsid w:val="496328C4"/>
    <w:rsid w:val="499E6A69"/>
    <w:rsid w:val="49A02311"/>
    <w:rsid w:val="49B90FC8"/>
    <w:rsid w:val="49C516E5"/>
    <w:rsid w:val="4A536BDB"/>
    <w:rsid w:val="4B0C111A"/>
    <w:rsid w:val="4B4D0B9A"/>
    <w:rsid w:val="4B501402"/>
    <w:rsid w:val="4B9B7A78"/>
    <w:rsid w:val="4BBA0C86"/>
    <w:rsid w:val="4C705B7B"/>
    <w:rsid w:val="4CA25799"/>
    <w:rsid w:val="4CB40D67"/>
    <w:rsid w:val="4D72564E"/>
    <w:rsid w:val="4D88228C"/>
    <w:rsid w:val="4DC25072"/>
    <w:rsid w:val="4E3C698E"/>
    <w:rsid w:val="4E98351C"/>
    <w:rsid w:val="4F171DF0"/>
    <w:rsid w:val="4F5819BC"/>
    <w:rsid w:val="4F5D32A4"/>
    <w:rsid w:val="4F983C42"/>
    <w:rsid w:val="4FC2023E"/>
    <w:rsid w:val="4FDB27FC"/>
    <w:rsid w:val="4FEF3B99"/>
    <w:rsid w:val="505333D2"/>
    <w:rsid w:val="50571655"/>
    <w:rsid w:val="50615016"/>
    <w:rsid w:val="5099655E"/>
    <w:rsid w:val="5169671C"/>
    <w:rsid w:val="520D3F94"/>
    <w:rsid w:val="525B0390"/>
    <w:rsid w:val="52C5026C"/>
    <w:rsid w:val="52C77E7A"/>
    <w:rsid w:val="52D70679"/>
    <w:rsid w:val="530E1476"/>
    <w:rsid w:val="53465CBF"/>
    <w:rsid w:val="53874982"/>
    <w:rsid w:val="53C75190"/>
    <w:rsid w:val="53DC50DF"/>
    <w:rsid w:val="54104D89"/>
    <w:rsid w:val="545C2904"/>
    <w:rsid w:val="546B5875"/>
    <w:rsid w:val="546F4551"/>
    <w:rsid w:val="54C1164B"/>
    <w:rsid w:val="55262802"/>
    <w:rsid w:val="55302719"/>
    <w:rsid w:val="553D3147"/>
    <w:rsid w:val="555902BB"/>
    <w:rsid w:val="56456D8A"/>
    <w:rsid w:val="57466155"/>
    <w:rsid w:val="580A43FE"/>
    <w:rsid w:val="58E21B13"/>
    <w:rsid w:val="58E21D5A"/>
    <w:rsid w:val="59FD5515"/>
    <w:rsid w:val="5A140FA1"/>
    <w:rsid w:val="5A637B90"/>
    <w:rsid w:val="5AE52CEE"/>
    <w:rsid w:val="5B1535B7"/>
    <w:rsid w:val="5B7065B7"/>
    <w:rsid w:val="5BB2049C"/>
    <w:rsid w:val="5BE64C08"/>
    <w:rsid w:val="5BFF4434"/>
    <w:rsid w:val="5DEE3E5B"/>
    <w:rsid w:val="5E091D00"/>
    <w:rsid w:val="5E3723DB"/>
    <w:rsid w:val="5E622163"/>
    <w:rsid w:val="5E997B62"/>
    <w:rsid w:val="5F466C95"/>
    <w:rsid w:val="5F5C0E82"/>
    <w:rsid w:val="5FDF7B19"/>
    <w:rsid w:val="5FE23AE4"/>
    <w:rsid w:val="60121E89"/>
    <w:rsid w:val="606C5D3C"/>
    <w:rsid w:val="6095731E"/>
    <w:rsid w:val="60C9221B"/>
    <w:rsid w:val="60CD5A0C"/>
    <w:rsid w:val="61155EB8"/>
    <w:rsid w:val="61996AEF"/>
    <w:rsid w:val="61D45648"/>
    <w:rsid w:val="62560FA6"/>
    <w:rsid w:val="626F1110"/>
    <w:rsid w:val="634405AB"/>
    <w:rsid w:val="640F2217"/>
    <w:rsid w:val="65C907FC"/>
    <w:rsid w:val="65EB59C7"/>
    <w:rsid w:val="6607464E"/>
    <w:rsid w:val="664F7993"/>
    <w:rsid w:val="666B4A1D"/>
    <w:rsid w:val="66717D38"/>
    <w:rsid w:val="66BA6B1B"/>
    <w:rsid w:val="6704453E"/>
    <w:rsid w:val="672F575D"/>
    <w:rsid w:val="67334BBF"/>
    <w:rsid w:val="679A7B08"/>
    <w:rsid w:val="68966BF5"/>
    <w:rsid w:val="68B30FA2"/>
    <w:rsid w:val="68C82A68"/>
    <w:rsid w:val="68D95071"/>
    <w:rsid w:val="68EA1B50"/>
    <w:rsid w:val="68FC5E8E"/>
    <w:rsid w:val="69297796"/>
    <w:rsid w:val="69656605"/>
    <w:rsid w:val="69F001BF"/>
    <w:rsid w:val="6A097646"/>
    <w:rsid w:val="6B3C460E"/>
    <w:rsid w:val="6B3C59DE"/>
    <w:rsid w:val="6B7058F2"/>
    <w:rsid w:val="6BBD4A24"/>
    <w:rsid w:val="6C6A1B24"/>
    <w:rsid w:val="6C8C25A7"/>
    <w:rsid w:val="6D6B6E89"/>
    <w:rsid w:val="6D814C24"/>
    <w:rsid w:val="6DC70A07"/>
    <w:rsid w:val="6DFB2481"/>
    <w:rsid w:val="6EAE6189"/>
    <w:rsid w:val="6F3232B4"/>
    <w:rsid w:val="6F3275E5"/>
    <w:rsid w:val="6FB53ABB"/>
    <w:rsid w:val="6FDF342C"/>
    <w:rsid w:val="70EE1FB8"/>
    <w:rsid w:val="719D3F2B"/>
    <w:rsid w:val="71C234AE"/>
    <w:rsid w:val="72747576"/>
    <w:rsid w:val="727F395E"/>
    <w:rsid w:val="72B70441"/>
    <w:rsid w:val="73741427"/>
    <w:rsid w:val="738A0A11"/>
    <w:rsid w:val="73CD42D1"/>
    <w:rsid w:val="73F5645C"/>
    <w:rsid w:val="74056336"/>
    <w:rsid w:val="743D5286"/>
    <w:rsid w:val="74484C79"/>
    <w:rsid w:val="74644B73"/>
    <w:rsid w:val="74EB6FEC"/>
    <w:rsid w:val="74F160B9"/>
    <w:rsid w:val="75A07046"/>
    <w:rsid w:val="75AE6217"/>
    <w:rsid w:val="75C94940"/>
    <w:rsid w:val="76070528"/>
    <w:rsid w:val="76404C02"/>
    <w:rsid w:val="764861AD"/>
    <w:rsid w:val="771247BD"/>
    <w:rsid w:val="77912A10"/>
    <w:rsid w:val="77922668"/>
    <w:rsid w:val="779943F6"/>
    <w:rsid w:val="77B41AF2"/>
    <w:rsid w:val="77D72A16"/>
    <w:rsid w:val="78014865"/>
    <w:rsid w:val="78521139"/>
    <w:rsid w:val="787263F0"/>
    <w:rsid w:val="789C6AF6"/>
    <w:rsid w:val="78D669C4"/>
    <w:rsid w:val="790E7239"/>
    <w:rsid w:val="794C2B0A"/>
    <w:rsid w:val="794D32A7"/>
    <w:rsid w:val="79664855"/>
    <w:rsid w:val="797B41A3"/>
    <w:rsid w:val="79826ACC"/>
    <w:rsid w:val="7A720713"/>
    <w:rsid w:val="7A7B08FF"/>
    <w:rsid w:val="7BBF6C21"/>
    <w:rsid w:val="7C377678"/>
    <w:rsid w:val="7CFE5461"/>
    <w:rsid w:val="7D02613C"/>
    <w:rsid w:val="7D7040E9"/>
    <w:rsid w:val="7E147161"/>
    <w:rsid w:val="7E292420"/>
    <w:rsid w:val="7E4B683A"/>
    <w:rsid w:val="7E88183C"/>
    <w:rsid w:val="7F196AAE"/>
    <w:rsid w:val="7F2D54DA"/>
    <w:rsid w:val="7FB74D40"/>
    <w:rsid w:val="7FBC1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zh-TW" w:eastAsia="zh-TW" w:bidi="zh-TW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outlineLvl w:val="0"/>
    </w:pPr>
    <w:rPr>
      <w:rFonts w:hint="eastAsia" w:cs="Times New Roman"/>
      <w:b/>
      <w:bCs/>
      <w:kern w:val="44"/>
      <w:sz w:val="48"/>
      <w:szCs w:val="48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autoRedefine/>
    <w:qFormat/>
    <w:uiPriority w:val="0"/>
  </w:style>
  <w:style w:type="paragraph" w:styleId="4">
    <w:name w:val="Body Text"/>
    <w:basedOn w:val="1"/>
    <w:autoRedefine/>
    <w:qFormat/>
    <w:uiPriority w:val="1"/>
    <w:rPr>
      <w:rFonts w:ascii="黑体" w:hAnsi="黑体" w:eastAsia="黑体" w:cs="黑体"/>
      <w:sz w:val="32"/>
      <w:szCs w:val="32"/>
    </w:rPr>
  </w:style>
  <w:style w:type="paragraph" w:styleId="5">
    <w:name w:val="footer"/>
    <w:basedOn w:val="1"/>
    <w:link w:val="19"/>
    <w:autoRedefine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8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qFormat/>
    <w:uiPriority w:val="0"/>
    <w:pPr>
      <w:widowControl/>
      <w:spacing w:before="100" w:beforeAutospacing="1" w:after="100" w:afterAutospacing="1"/>
    </w:pPr>
    <w:rPr>
      <w:sz w:val="24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autoRedefine/>
    <w:qFormat/>
    <w:uiPriority w:val="0"/>
  </w:style>
  <w:style w:type="table" w:customStyle="1" w:styleId="12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3">
    <w:name w:val="List Paragraph"/>
    <w:basedOn w:val="1"/>
    <w:autoRedefine/>
    <w:qFormat/>
    <w:uiPriority w:val="1"/>
  </w:style>
  <w:style w:type="paragraph" w:customStyle="1" w:styleId="14">
    <w:name w:val="Table Paragraph"/>
    <w:basedOn w:val="1"/>
    <w:autoRedefine/>
    <w:qFormat/>
    <w:uiPriority w:val="1"/>
  </w:style>
  <w:style w:type="paragraph" w:customStyle="1" w:styleId="15">
    <w:name w:val="日期1"/>
    <w:basedOn w:val="1"/>
    <w:next w:val="1"/>
    <w:autoRedefine/>
    <w:qFormat/>
    <w:uiPriority w:val="0"/>
    <w:pPr>
      <w:adjustRightInd w:val="0"/>
      <w:textAlignment w:val="baseline"/>
    </w:pPr>
    <w:rPr>
      <w:sz w:val="28"/>
    </w:rPr>
  </w:style>
  <w:style w:type="character" w:customStyle="1" w:styleId="16">
    <w:name w:val="font11"/>
    <w:basedOn w:val="10"/>
    <w:autoRedefine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7">
    <w:name w:val="font21"/>
    <w:basedOn w:val="10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8">
    <w:name w:val="页眉 字符"/>
    <w:basedOn w:val="10"/>
    <w:link w:val="6"/>
    <w:autoRedefine/>
    <w:qFormat/>
    <w:uiPriority w:val="0"/>
    <w:rPr>
      <w:rFonts w:ascii="宋体" w:hAnsi="宋体" w:cs="宋体"/>
      <w:sz w:val="18"/>
      <w:szCs w:val="18"/>
      <w:lang w:val="zh-TW" w:eastAsia="zh-TW" w:bidi="zh-TW"/>
    </w:rPr>
  </w:style>
  <w:style w:type="character" w:customStyle="1" w:styleId="19">
    <w:name w:val="页脚 字符"/>
    <w:basedOn w:val="10"/>
    <w:link w:val="5"/>
    <w:autoRedefine/>
    <w:qFormat/>
    <w:uiPriority w:val="0"/>
    <w:rPr>
      <w:rFonts w:ascii="宋体" w:hAnsi="宋体" w:cs="宋体"/>
      <w:sz w:val="18"/>
      <w:szCs w:val="18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62E9F84-9F07-4DE1-9318-8B79C9AEE91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2712</Words>
  <Characters>3603</Characters>
  <Lines>26</Lines>
  <Paragraphs>7</Paragraphs>
  <TotalTime>3</TotalTime>
  <ScaleCrop>false</ScaleCrop>
  <LinksUpToDate>false</LinksUpToDate>
  <CharactersWithSpaces>3694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2024-07-08T05:56:00Z</dcterms:created>
  <dc:creator>wangy</dc:creator>
  <cp:lastModifiedBy>袁帅</cp:lastModifiedBy>
  <dcterms:modified xsi:type="dcterms:W3CDTF">2026-01-22T00:42:20Z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2024-07-04T00:00:00Z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2024-07-08T00:00:00Z</vt:filetime>
  </property>
  <property fmtid="{D5CDD505-2E9C-101B-9397-08002B2CF9AE}" pid="5" name="KSOProductBuildVer">
    <vt:lpwstr>2052-12.1.0.24657</vt:lpwstr>
  </property>
  <property fmtid="{D5CDD505-2E9C-101B-9397-08002B2CF9AE}" pid="6" name="ICV">
    <vt:lpwstr>9D50A9B4AE354008BC27F3B0B69B00F8_13</vt:lpwstr>
  </property>
</Properties>
</file>