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29" w:rsidRDefault="009678F5" w:rsidP="009678F5">
      <w:pPr>
        <w:pStyle w:val="a4"/>
        <w:widowControl/>
        <w:shd w:val="clear" w:color="auto" w:fill="FFFFFF"/>
        <w:jc w:val="left"/>
        <w:rPr>
          <w:rFonts w:ascii="宋体" w:hAnsi="宋体" w:cs="宋体"/>
          <w:color w:val="000000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  <w:shd w:val="clear" w:color="auto" w:fill="FFFFFF"/>
        </w:rPr>
        <w:t>附表：报名信息表</w:t>
      </w:r>
    </w:p>
    <w:p w:rsidR="00065629" w:rsidRDefault="009678F5">
      <w:pPr>
        <w:pStyle w:val="a4"/>
        <w:widowControl/>
        <w:shd w:val="clear" w:color="auto" w:fill="FFFFFF"/>
        <w:ind w:firstLine="420"/>
        <w:rPr>
          <w:rFonts w:ascii="宋体" w:hAnsi="宋体" w:cs="宋体"/>
          <w:color w:val="000000"/>
          <w:szCs w:val="24"/>
        </w:rPr>
      </w:pPr>
      <w:r>
        <w:rPr>
          <w:color w:val="000000"/>
          <w:sz w:val="21"/>
          <w:szCs w:val="21"/>
          <w:shd w:val="clear" w:color="auto" w:fill="FFFFFF"/>
        </w:rPr>
        <w:t> </w:t>
      </w:r>
    </w:p>
    <w:p w:rsidR="00065629" w:rsidRDefault="009678F5">
      <w:pPr>
        <w:pStyle w:val="a4"/>
        <w:widowControl/>
        <w:shd w:val="clear" w:color="auto" w:fill="FFFFFF"/>
        <w:ind w:firstLine="420"/>
        <w:rPr>
          <w:rFonts w:ascii="宋体" w:hAnsi="宋体" w:cs="宋体"/>
          <w:color w:val="000000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  <w:shd w:val="clear" w:color="auto" w:fill="FFFFFF"/>
        </w:rPr>
        <w:t>                        </w:t>
      </w:r>
      <w:r>
        <w:rPr>
          <w:rFonts w:ascii="微软雅黑" w:eastAsia="微软雅黑" w:hAnsi="微软雅黑" w:cs="微软雅黑" w:hint="eastAsia"/>
          <w:b/>
          <w:bCs/>
          <w:color w:val="000000"/>
          <w:sz w:val="32"/>
          <w:szCs w:val="32"/>
          <w:shd w:val="clear" w:color="auto" w:fill="FFFFFF"/>
        </w:rPr>
        <w:t>供应商报名信息表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7"/>
        <w:gridCol w:w="1860"/>
        <w:gridCol w:w="1134"/>
        <w:gridCol w:w="1962"/>
        <w:gridCol w:w="567"/>
        <w:gridCol w:w="1564"/>
        <w:gridCol w:w="899"/>
      </w:tblGrid>
      <w:tr w:rsidR="00065629" w:rsidRPr="00AE6E5B" w:rsidTr="00646FA9">
        <w:trPr>
          <w:trHeight w:val="20"/>
          <w:jc w:val="center"/>
        </w:trPr>
        <w:tc>
          <w:tcPr>
            <w:tcW w:w="1987" w:type="dxa"/>
            <w:shd w:val="clear" w:color="auto" w:fill="FFFFFF"/>
            <w:tcMar>
              <w:left w:w="108" w:type="dxa"/>
              <w:right w:w="108" w:type="dxa"/>
            </w:tcMar>
          </w:tcPr>
          <w:p w:rsidR="00065629" w:rsidRPr="00AE6E5B" w:rsidRDefault="009678F5" w:rsidP="00AE6E5B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供应商名称</w:t>
            </w:r>
          </w:p>
        </w:tc>
        <w:tc>
          <w:tcPr>
            <w:tcW w:w="7986" w:type="dxa"/>
            <w:gridSpan w:val="6"/>
            <w:shd w:val="clear" w:color="auto" w:fill="FFFFFF"/>
            <w:tcMar>
              <w:left w:w="108" w:type="dxa"/>
              <w:right w:w="108" w:type="dxa"/>
            </w:tcMar>
          </w:tcPr>
          <w:p w:rsidR="00065629" w:rsidRPr="00AE6E5B" w:rsidRDefault="009678F5">
            <w:pPr>
              <w:widowControl/>
              <w:rPr>
                <w:rFonts w:ascii="宋体" w:hAnsi="宋体" w:cs="宋体"/>
                <w:szCs w:val="21"/>
              </w:rPr>
            </w:pP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 </w:t>
            </w:r>
          </w:p>
        </w:tc>
      </w:tr>
      <w:tr w:rsidR="00715140" w:rsidRPr="00AE6E5B" w:rsidTr="00646FA9">
        <w:trPr>
          <w:trHeight w:val="20"/>
          <w:jc w:val="center"/>
        </w:trPr>
        <w:tc>
          <w:tcPr>
            <w:tcW w:w="1987" w:type="dxa"/>
            <w:shd w:val="clear" w:color="auto" w:fill="FFFFFF"/>
            <w:tcMar>
              <w:left w:w="108" w:type="dxa"/>
              <w:right w:w="108" w:type="dxa"/>
            </w:tcMar>
          </w:tcPr>
          <w:p w:rsidR="00715140" w:rsidRPr="00AE6E5B" w:rsidRDefault="00715140" w:rsidP="00AE6E5B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860" w:type="dxa"/>
            <w:shd w:val="clear" w:color="auto" w:fill="FFFFFF"/>
            <w:tcMar>
              <w:left w:w="108" w:type="dxa"/>
              <w:right w:w="108" w:type="dxa"/>
            </w:tcMar>
          </w:tcPr>
          <w:p w:rsidR="00715140" w:rsidRPr="00AE6E5B" w:rsidRDefault="00715140">
            <w:pPr>
              <w:widowControl/>
              <w:rPr>
                <w:rFonts w:ascii="宋体" w:hAnsi="宋体" w:cs="宋体"/>
                <w:szCs w:val="21"/>
              </w:rPr>
            </w:pP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</w:tcPr>
          <w:p w:rsidR="00715140" w:rsidRPr="00AE6E5B" w:rsidRDefault="00715140">
            <w:pPr>
              <w:widowControl/>
              <w:rPr>
                <w:rFonts w:ascii="宋体" w:hAnsi="宋体" w:cs="宋体"/>
                <w:szCs w:val="21"/>
              </w:rPr>
            </w:pP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962" w:type="dxa"/>
            <w:shd w:val="clear" w:color="auto" w:fill="FFFFFF"/>
            <w:tcMar>
              <w:left w:w="108" w:type="dxa"/>
              <w:right w:w="108" w:type="dxa"/>
            </w:tcMar>
          </w:tcPr>
          <w:p w:rsidR="00715140" w:rsidRPr="00AE6E5B" w:rsidRDefault="00715140">
            <w:pPr>
              <w:widowControl/>
              <w:rPr>
                <w:rFonts w:ascii="宋体" w:hAnsi="宋体" w:cs="宋体"/>
                <w:szCs w:val="21"/>
              </w:rPr>
            </w:pP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715140" w:rsidRPr="00AE6E5B" w:rsidRDefault="00715140" w:rsidP="0071514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AE6E5B"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463" w:type="dxa"/>
            <w:gridSpan w:val="2"/>
            <w:shd w:val="clear" w:color="auto" w:fill="FFFFFF"/>
          </w:tcPr>
          <w:p w:rsidR="00715140" w:rsidRPr="00AE6E5B" w:rsidRDefault="00715140" w:rsidP="00715140"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 w:rsidR="00065629" w:rsidRPr="00AE6E5B" w:rsidTr="00646FA9">
        <w:trPr>
          <w:trHeight w:val="20"/>
          <w:jc w:val="center"/>
        </w:trPr>
        <w:tc>
          <w:tcPr>
            <w:tcW w:w="1987" w:type="dxa"/>
            <w:shd w:val="clear" w:color="auto" w:fill="FFFFFF"/>
            <w:tcMar>
              <w:left w:w="108" w:type="dxa"/>
              <w:right w:w="108" w:type="dxa"/>
            </w:tcMar>
          </w:tcPr>
          <w:p w:rsidR="00065629" w:rsidRPr="00AE6E5B" w:rsidRDefault="00AE6E5B" w:rsidP="00AE6E5B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是否参与本次项目</w:t>
            </w:r>
          </w:p>
        </w:tc>
        <w:tc>
          <w:tcPr>
            <w:tcW w:w="7986" w:type="dxa"/>
            <w:gridSpan w:val="6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65629" w:rsidRPr="00AE6E5B" w:rsidRDefault="009678F5" w:rsidP="00A83A05">
            <w:pPr>
              <w:widowControl/>
              <w:ind w:firstLineChars="300" w:firstLine="630"/>
              <w:rPr>
                <w:rFonts w:ascii="宋体" w:hAnsi="宋体" w:cs="宋体"/>
                <w:szCs w:val="21"/>
              </w:rPr>
            </w:pP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sym w:font="Wingdings 2" w:char="00A3"/>
            </w: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是     </w:t>
            </w: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sym w:font="Wingdings 2" w:char="00A3"/>
            </w: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否</w:t>
            </w:r>
          </w:p>
        </w:tc>
      </w:tr>
      <w:tr w:rsidR="00065629" w:rsidRPr="00AE6E5B" w:rsidTr="00646FA9">
        <w:trPr>
          <w:trHeight w:val="20"/>
          <w:jc w:val="center"/>
        </w:trPr>
        <w:tc>
          <w:tcPr>
            <w:tcW w:w="198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65629" w:rsidRPr="00AE6E5B" w:rsidRDefault="00E90350" w:rsidP="00AE6E5B">
            <w:pPr>
              <w:widowControl/>
              <w:spacing w:line="40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986" w:type="dxa"/>
            <w:gridSpan w:val="6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65629" w:rsidRPr="00246833" w:rsidRDefault="00DC483E" w:rsidP="00DB3546"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 w:rsidRPr="00DC483E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大新华飞机维修服务有限公司</w:t>
            </w:r>
            <w:r w:rsidR="00DB3546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一站式</w:t>
            </w:r>
            <w:r w:rsidR="00DB3546" w:rsidRPr="00DB3546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空港维修基地三号机库中频电源及电源地井维保服务外委采购项目</w:t>
            </w:r>
          </w:p>
        </w:tc>
      </w:tr>
      <w:tr w:rsidR="00531BE0" w:rsidRPr="00AE6E5B" w:rsidTr="00646FA9">
        <w:trPr>
          <w:trHeight w:val="20"/>
          <w:jc w:val="center"/>
        </w:trPr>
        <w:tc>
          <w:tcPr>
            <w:tcW w:w="198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1BE0" w:rsidRPr="00AE6E5B" w:rsidRDefault="00531BE0" w:rsidP="000103E5">
            <w:pPr>
              <w:widowControl/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企业资质</w:t>
            </w:r>
          </w:p>
        </w:tc>
        <w:tc>
          <w:tcPr>
            <w:tcW w:w="7087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1BE0" w:rsidRPr="00246833" w:rsidRDefault="00531BE0" w:rsidP="00AE6E5B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 w:rsidRPr="00246833">
              <w:rPr>
                <w:rFonts w:ascii="微软雅黑" w:eastAsia="微软雅黑" w:hAnsi="微软雅黑" w:cs="宋体"/>
                <w:color w:val="000000" w:themeColor="text1"/>
                <w:szCs w:val="21"/>
              </w:rPr>
              <w:t>要求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531BE0" w:rsidRPr="00246833" w:rsidRDefault="00531BE0" w:rsidP="00F96EB1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 w:rsidRPr="00246833">
              <w:rPr>
                <w:rFonts w:ascii="微软雅黑" w:eastAsia="微软雅黑" w:hAnsi="微软雅黑" w:cs="宋体"/>
                <w:color w:val="000000" w:themeColor="text1"/>
                <w:szCs w:val="21"/>
              </w:rPr>
              <w:t>是否满足</w:t>
            </w:r>
          </w:p>
        </w:tc>
      </w:tr>
      <w:tr w:rsidR="00531BE0" w:rsidRPr="00AE6E5B" w:rsidTr="00646FA9">
        <w:trPr>
          <w:trHeight w:val="20"/>
          <w:jc w:val="center"/>
        </w:trPr>
        <w:tc>
          <w:tcPr>
            <w:tcW w:w="1987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1BE0" w:rsidRPr="00AE6E5B" w:rsidRDefault="00531BE0" w:rsidP="009F2358">
            <w:pPr>
              <w:widowControl/>
              <w:spacing w:line="400" w:lineRule="atLeast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1BE0" w:rsidRPr="00246833" w:rsidRDefault="00531BE0" w:rsidP="009F2358">
            <w:pPr>
              <w:widowControl/>
              <w:snapToGrid w:val="0"/>
              <w:spacing w:line="400" w:lineRule="exact"/>
              <w:rPr>
                <w:rFonts w:ascii="微软雅黑" w:eastAsia="微软雅黑" w:hAnsi="微软雅黑" w:cs="华文楷体"/>
                <w:color w:val="000000" w:themeColor="text1"/>
                <w:szCs w:val="21"/>
              </w:rPr>
            </w:pPr>
            <w:r w:rsidRPr="00246833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营业执照（扫描盖章版）。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531BE0" w:rsidRPr="00246833" w:rsidRDefault="00531BE0" w:rsidP="009F2358">
            <w:pPr>
              <w:widowControl/>
              <w:spacing w:line="400" w:lineRule="atLeast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</w:tr>
      <w:tr w:rsidR="00531BE0" w:rsidRPr="00AE6E5B" w:rsidTr="00646FA9">
        <w:trPr>
          <w:trHeight w:val="20"/>
          <w:jc w:val="center"/>
        </w:trPr>
        <w:tc>
          <w:tcPr>
            <w:tcW w:w="1987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1BE0" w:rsidRPr="00AE6E5B" w:rsidRDefault="00531BE0" w:rsidP="009F2358">
            <w:pPr>
              <w:widowControl/>
              <w:spacing w:line="400" w:lineRule="atLeast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1BE0" w:rsidRPr="00246833" w:rsidRDefault="00531BE0" w:rsidP="00531BE0">
            <w:pPr>
              <w:widowControl/>
              <w:snapToGrid w:val="0"/>
              <w:spacing w:line="400" w:lineRule="exact"/>
              <w:rPr>
                <w:rFonts w:ascii="微软雅黑" w:eastAsia="微软雅黑" w:hAnsi="微软雅黑" w:cs="华文楷体"/>
                <w:color w:val="000000" w:themeColor="text1"/>
                <w:szCs w:val="21"/>
              </w:rPr>
            </w:pPr>
            <w:r w:rsidRPr="00246833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全国法院失信被执行人名单信息公布与查询系统无失信记录。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531BE0" w:rsidRPr="00246833" w:rsidRDefault="00531BE0" w:rsidP="009F2358">
            <w:pPr>
              <w:widowControl/>
              <w:spacing w:line="400" w:lineRule="atLeast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</w:tr>
      <w:tr w:rsidR="00531BE0" w:rsidRPr="00AE6E5B" w:rsidTr="00646FA9">
        <w:trPr>
          <w:trHeight w:val="20"/>
          <w:jc w:val="center"/>
        </w:trPr>
        <w:tc>
          <w:tcPr>
            <w:tcW w:w="1987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1BE0" w:rsidRPr="00AE6E5B" w:rsidRDefault="00531BE0" w:rsidP="009F2358">
            <w:pPr>
              <w:widowControl/>
              <w:spacing w:line="400" w:lineRule="atLeast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1BE0" w:rsidRPr="00246833" w:rsidRDefault="00531BE0" w:rsidP="00AE6E5B">
            <w:pPr>
              <w:widowControl/>
              <w:snapToGrid w:val="0"/>
              <w:spacing w:line="400" w:lineRule="exact"/>
              <w:rPr>
                <w:rFonts w:ascii="微软雅黑" w:eastAsia="微软雅黑" w:hAnsi="微软雅黑" w:cs="华文楷体"/>
                <w:color w:val="000000" w:themeColor="text1"/>
                <w:szCs w:val="21"/>
              </w:rPr>
            </w:pPr>
            <w:r w:rsidRPr="00246833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国家企业信用信息公示系统显示的工商登记状态为存续(包括在营、开业、在册)。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531BE0" w:rsidRPr="00246833" w:rsidRDefault="00531BE0" w:rsidP="009F2358">
            <w:pPr>
              <w:widowControl/>
              <w:spacing w:line="400" w:lineRule="atLeast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</w:tr>
      <w:tr w:rsidR="00531BE0" w:rsidRPr="00AE6E5B" w:rsidTr="00646FA9">
        <w:trPr>
          <w:trHeight w:val="20"/>
          <w:jc w:val="center"/>
        </w:trPr>
        <w:tc>
          <w:tcPr>
            <w:tcW w:w="1987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1BE0" w:rsidRPr="00AE6E5B" w:rsidRDefault="00531BE0" w:rsidP="009F2358">
            <w:pPr>
              <w:widowControl/>
              <w:spacing w:line="400" w:lineRule="atLeast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1BE0" w:rsidRPr="00246833" w:rsidRDefault="00531BE0" w:rsidP="00713B33">
            <w:pPr>
              <w:pStyle w:val="a5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rPr>
                <w:rFonts w:ascii="微软雅黑" w:eastAsia="微软雅黑" w:hAnsi="微软雅黑" w:cs="华文楷体"/>
                <w:color w:val="000000" w:themeColor="text1"/>
                <w:szCs w:val="21"/>
              </w:rPr>
            </w:pPr>
            <w:r w:rsidRPr="00246833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输变电工程承包叁级或更高的建筑业企业资质证书。</w:t>
            </w:r>
          </w:p>
          <w:p w:rsidR="00531BE0" w:rsidRPr="00246833" w:rsidRDefault="00531BE0" w:rsidP="00713B33">
            <w:pPr>
              <w:pStyle w:val="a5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rPr>
                <w:rFonts w:ascii="微软雅黑" w:eastAsia="微软雅黑" w:hAnsi="微软雅黑" w:cs="华文楷体"/>
                <w:color w:val="000000" w:themeColor="text1"/>
                <w:szCs w:val="21"/>
              </w:rPr>
            </w:pPr>
            <w:r w:rsidRPr="00246833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承装（修、试）电力设施许可证（五级或更高）</w:t>
            </w:r>
            <w:r w:rsidR="000C283F" w:rsidRPr="00246833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。</w:t>
            </w:r>
          </w:p>
          <w:p w:rsidR="00531BE0" w:rsidRPr="00246833" w:rsidRDefault="00531BE0" w:rsidP="00646FA9">
            <w:pPr>
              <w:pStyle w:val="a5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rPr>
                <w:rFonts w:ascii="微软雅黑" w:eastAsia="微软雅黑" w:hAnsi="微软雅黑" w:cs="华文楷体"/>
                <w:color w:val="000000" w:themeColor="text1"/>
                <w:szCs w:val="21"/>
              </w:rPr>
            </w:pPr>
            <w:r w:rsidRPr="00246833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建筑施工许可范围的安全生产许可证</w:t>
            </w:r>
            <w:r w:rsidR="000C283F" w:rsidRPr="00246833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。</w:t>
            </w:r>
          </w:p>
          <w:p w:rsidR="00713B33" w:rsidRPr="00246833" w:rsidRDefault="00646FA9" w:rsidP="00C01BEE">
            <w:pPr>
              <w:pStyle w:val="a5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rPr>
                <w:rFonts w:ascii="微软雅黑" w:eastAsia="微软雅黑" w:hAnsi="微软雅黑" w:cs="华文楷体"/>
                <w:color w:val="000000" w:themeColor="text1"/>
                <w:szCs w:val="21"/>
              </w:rPr>
            </w:pPr>
            <w:r w:rsidRPr="0030393B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高压箱变作业人员必须根据国家有关法规条例持证上岗。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531BE0" w:rsidRPr="00246833" w:rsidRDefault="00531BE0" w:rsidP="009F2358">
            <w:pPr>
              <w:widowControl/>
              <w:spacing w:line="400" w:lineRule="atLeast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</w:tr>
      <w:tr w:rsidR="00091B0A" w:rsidRPr="00AE6E5B" w:rsidTr="00646FA9">
        <w:trPr>
          <w:trHeight w:val="20"/>
          <w:jc w:val="center"/>
        </w:trPr>
        <w:tc>
          <w:tcPr>
            <w:tcW w:w="198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91B0A" w:rsidRPr="00AE6E5B" w:rsidRDefault="00091B0A" w:rsidP="00091B0A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技术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7087" w:type="dxa"/>
            <w:gridSpan w:val="5"/>
            <w:shd w:val="clear" w:color="auto" w:fill="FFFFFF"/>
            <w:tcMar>
              <w:left w:w="108" w:type="dxa"/>
              <w:right w:w="108" w:type="dxa"/>
            </w:tcMar>
          </w:tcPr>
          <w:p w:rsidR="00646FA9" w:rsidRPr="00246833" w:rsidRDefault="00646FA9" w:rsidP="00646FA9">
            <w:pPr>
              <w:widowControl/>
              <w:snapToGrid w:val="0"/>
              <w:spacing w:line="400" w:lineRule="exact"/>
              <w:ind w:firstLineChars="200" w:firstLine="420"/>
              <w:rPr>
                <w:rFonts w:ascii="微软雅黑" w:eastAsia="微软雅黑" w:hAnsi="微软雅黑" w:cs="华文楷体"/>
                <w:color w:val="000000" w:themeColor="text1"/>
                <w:szCs w:val="21"/>
              </w:rPr>
            </w:pPr>
            <w:r w:rsidRPr="00246833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1.</w:t>
            </w:r>
            <w:r w:rsidR="00462D4C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服务方</w:t>
            </w:r>
            <w:r w:rsidR="00D204E8" w:rsidRPr="00D204E8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负责设备的例行检查、故障处理，定期对设备进行保养和隐患预防，做好维保记录，确保设备完好。</w:t>
            </w:r>
          </w:p>
          <w:p w:rsidR="00646FA9" w:rsidRPr="00246833" w:rsidRDefault="00646FA9" w:rsidP="00646FA9">
            <w:pPr>
              <w:widowControl/>
              <w:snapToGrid w:val="0"/>
              <w:spacing w:line="400" w:lineRule="exact"/>
              <w:ind w:firstLineChars="200" w:firstLine="420"/>
              <w:rPr>
                <w:rFonts w:ascii="微软雅黑" w:eastAsia="微软雅黑" w:hAnsi="微软雅黑" w:cs="华文楷体"/>
                <w:color w:val="000000" w:themeColor="text1"/>
                <w:szCs w:val="21"/>
              </w:rPr>
            </w:pPr>
            <w:r w:rsidRPr="00246833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2.</w:t>
            </w:r>
            <w:r w:rsidR="00D204E8" w:rsidRPr="00D204E8">
              <w:rPr>
                <w:rFonts w:ascii="微软雅黑" w:eastAsia="微软雅黑" w:hAnsi="微软雅黑" w:cs="华文楷体"/>
                <w:color w:val="000000" w:themeColor="text1"/>
                <w:szCs w:val="21"/>
              </w:rPr>
              <w:t>维保期间，</w:t>
            </w:r>
            <w:r w:rsidR="00462D4C">
              <w:rPr>
                <w:rFonts w:ascii="微软雅黑" w:eastAsia="微软雅黑" w:hAnsi="微软雅黑" w:cs="华文楷体"/>
                <w:color w:val="000000" w:themeColor="text1"/>
                <w:szCs w:val="21"/>
              </w:rPr>
              <w:t>服务方</w:t>
            </w:r>
            <w:r w:rsidR="00D204E8" w:rsidRPr="00D204E8">
              <w:rPr>
                <w:rFonts w:ascii="微软雅黑" w:eastAsia="微软雅黑" w:hAnsi="微软雅黑" w:cs="华文楷体"/>
                <w:color w:val="000000" w:themeColor="text1"/>
                <w:szCs w:val="21"/>
              </w:rPr>
              <w:t>根据甲方提供的维保工卡及维保计划，按时提供维保服务，如甲方设备出现故障，及时进行修理，不得影响甲方正常工作使用。</w:t>
            </w:r>
          </w:p>
          <w:p w:rsidR="000E5BC7" w:rsidRDefault="00D204E8" w:rsidP="00D204E8">
            <w:pPr>
              <w:widowControl/>
              <w:snapToGrid w:val="0"/>
              <w:spacing w:line="400" w:lineRule="exact"/>
              <w:ind w:firstLineChars="200" w:firstLine="420"/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3.</w:t>
            </w:r>
            <w:r w:rsidRPr="00D204E8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涉及维保项目的质保期为3个月，涉及维修或更换配件项目的质保期为1年。</w:t>
            </w:r>
          </w:p>
          <w:p w:rsidR="00D204E8" w:rsidRDefault="00D204E8" w:rsidP="00D204E8">
            <w:pPr>
              <w:pStyle w:val="a0"/>
              <w:rPr>
                <w:rFonts w:ascii="微软雅黑" w:eastAsia="微软雅黑" w:hAnsi="微软雅黑" w:cs="华文楷体" w:hint="eastAsia"/>
                <w:color w:val="000000" w:themeColor="text1"/>
                <w:sz w:val="21"/>
                <w:szCs w:val="21"/>
              </w:rPr>
            </w:pPr>
            <w:r w:rsidRPr="00D204E8">
              <w:rPr>
                <w:rFonts w:ascii="微软雅黑" w:eastAsia="微软雅黑" w:hAnsi="微软雅黑" w:cs="华文楷体" w:hint="eastAsia"/>
                <w:color w:val="000000" w:themeColor="text1"/>
                <w:sz w:val="21"/>
                <w:szCs w:val="21"/>
              </w:rPr>
              <w:t>4.维保费包含</w:t>
            </w:r>
            <w:r w:rsidR="00462D4C">
              <w:rPr>
                <w:rFonts w:ascii="微软雅黑" w:eastAsia="微软雅黑" w:hAnsi="微软雅黑" w:cs="华文楷体" w:hint="eastAsia"/>
                <w:color w:val="000000" w:themeColor="text1"/>
                <w:sz w:val="21"/>
                <w:szCs w:val="21"/>
              </w:rPr>
              <w:t>服务方</w:t>
            </w:r>
            <w:r w:rsidRPr="00D204E8">
              <w:rPr>
                <w:rFonts w:ascii="微软雅黑" w:eastAsia="微软雅黑" w:hAnsi="微软雅黑" w:cs="华文楷体" w:hint="eastAsia"/>
                <w:color w:val="000000" w:themeColor="text1"/>
                <w:sz w:val="21"/>
                <w:szCs w:val="21"/>
              </w:rPr>
              <w:t>的人工、技术、设备、税金、交通、食宿等与维保有关的所有费用。</w:t>
            </w:r>
          </w:p>
          <w:p w:rsidR="00D204E8" w:rsidRDefault="00D204E8" w:rsidP="00D204E8">
            <w:pPr>
              <w:pStyle w:val="a0"/>
              <w:rPr>
                <w:rFonts w:ascii="微软雅黑" w:eastAsia="微软雅黑" w:hAnsi="微软雅黑" w:cs="华文楷体" w:hint="eastAsia"/>
                <w:color w:val="000000" w:themeColor="text1"/>
                <w:sz w:val="21"/>
                <w:szCs w:val="21"/>
              </w:rPr>
            </w:pPr>
            <w:r>
              <w:rPr>
                <w:rFonts w:ascii="微软雅黑" w:eastAsia="微软雅黑" w:hAnsi="微软雅黑" w:cs="华文楷体" w:hint="eastAsia"/>
                <w:color w:val="000000" w:themeColor="text1"/>
                <w:sz w:val="21"/>
                <w:szCs w:val="21"/>
              </w:rPr>
              <w:t>5.</w:t>
            </w:r>
            <w:r w:rsidRPr="00D204E8">
              <w:rPr>
                <w:rFonts w:ascii="微软雅黑" w:eastAsia="微软雅黑" w:hAnsi="微软雅黑" w:cs="华文楷体" w:hint="eastAsia"/>
                <w:color w:val="000000" w:themeColor="text1"/>
                <w:sz w:val="21"/>
                <w:szCs w:val="21"/>
              </w:rPr>
              <w:t>维修所需材料价值（单件单价）在1000元以下的，视为费用已包含在维保费中，</w:t>
            </w:r>
            <w:r w:rsidR="00462D4C">
              <w:rPr>
                <w:rFonts w:ascii="微软雅黑" w:eastAsia="微软雅黑" w:hAnsi="微软雅黑" w:cs="华文楷体" w:hint="eastAsia"/>
                <w:color w:val="000000" w:themeColor="text1"/>
                <w:sz w:val="21"/>
                <w:szCs w:val="21"/>
              </w:rPr>
              <w:t>服务方</w:t>
            </w:r>
            <w:r w:rsidRPr="00D204E8">
              <w:rPr>
                <w:rFonts w:ascii="微软雅黑" w:eastAsia="微软雅黑" w:hAnsi="微软雅黑" w:cs="华文楷体" w:hint="eastAsia"/>
                <w:color w:val="000000" w:themeColor="text1"/>
                <w:sz w:val="21"/>
                <w:szCs w:val="21"/>
              </w:rPr>
              <w:t>不再另行收费。材料价值（单件单价）高于1000元的部分，甲方另行付费。材料价值（单件单价）应通过市场比价确定。</w:t>
            </w:r>
          </w:p>
          <w:p w:rsidR="00D204E8" w:rsidRDefault="00D204E8" w:rsidP="00D204E8">
            <w:pPr>
              <w:widowControl/>
              <w:snapToGrid w:val="0"/>
              <w:spacing w:line="400" w:lineRule="exact"/>
              <w:ind w:firstLineChars="200" w:firstLine="420"/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6.</w:t>
            </w:r>
            <w:r w:rsidR="00462D4C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服务方</w:t>
            </w:r>
            <w:r w:rsidRPr="00D204E8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保证其具有施工资质，并委派具有相应职业资格证书的人员为甲方设备提供维保服务。</w:t>
            </w:r>
          </w:p>
          <w:p w:rsidR="00D204E8" w:rsidRDefault="00D204E8" w:rsidP="00D204E8">
            <w:pPr>
              <w:widowControl/>
              <w:snapToGrid w:val="0"/>
              <w:spacing w:line="400" w:lineRule="exact"/>
              <w:ind w:firstLineChars="200" w:firstLine="420"/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</w:pPr>
            <w:r w:rsidRPr="00D204E8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lastRenderedPageBreak/>
              <w:t>7.提供24小时设备故障抢修服务，接到故障报警后，12小时内赶到现场，设置维修警示牌做好维修准备，</w:t>
            </w:r>
            <w:r w:rsidRPr="00D204E8">
              <w:rPr>
                <w:rFonts w:ascii="微软雅黑" w:eastAsia="微软雅黑" w:hAnsi="微软雅黑" w:cs="华文楷体"/>
                <w:color w:val="000000" w:themeColor="text1"/>
                <w:szCs w:val="21"/>
              </w:rPr>
              <w:t>一般故障</w:t>
            </w:r>
            <w:r w:rsidRPr="00D204E8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30分钟</w:t>
            </w:r>
            <w:r w:rsidRPr="00D204E8">
              <w:rPr>
                <w:rFonts w:ascii="微软雅黑" w:eastAsia="微软雅黑" w:hAnsi="微软雅黑" w:cs="华文楷体"/>
                <w:color w:val="000000" w:themeColor="text1"/>
                <w:szCs w:val="21"/>
              </w:rPr>
              <w:t>内排除，重大零部件更换</w:t>
            </w:r>
            <w:r w:rsidRPr="00D204E8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6小时</w:t>
            </w:r>
            <w:r w:rsidRPr="00D204E8">
              <w:rPr>
                <w:rFonts w:ascii="微软雅黑" w:eastAsia="微软雅黑" w:hAnsi="微软雅黑" w:cs="华文楷体"/>
                <w:color w:val="000000" w:themeColor="text1"/>
                <w:szCs w:val="21"/>
              </w:rPr>
              <w:t>完成，重大故障</w:t>
            </w:r>
            <w:r w:rsidRPr="00D204E8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12小时</w:t>
            </w:r>
            <w:r w:rsidRPr="00D204E8">
              <w:rPr>
                <w:rFonts w:ascii="微软雅黑" w:eastAsia="微软雅黑" w:hAnsi="微软雅黑" w:cs="华文楷体"/>
                <w:color w:val="000000" w:themeColor="text1"/>
                <w:szCs w:val="21"/>
              </w:rPr>
              <w:t>内排除</w:t>
            </w:r>
            <w:r w:rsidRPr="00D204E8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。</w:t>
            </w:r>
          </w:p>
          <w:p w:rsidR="00D204E8" w:rsidRPr="00462D4C" w:rsidRDefault="00D204E8" w:rsidP="00462D4C">
            <w:pPr>
              <w:widowControl/>
              <w:snapToGrid w:val="0"/>
              <w:spacing w:line="400" w:lineRule="exact"/>
              <w:ind w:firstLineChars="200" w:firstLine="420"/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</w:pPr>
            <w:r w:rsidRPr="00462D4C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8. 如需大型维修改造（1000元以上）的项目，提前制定施工方案并报甲方同意后实施。</w:t>
            </w:r>
          </w:p>
          <w:p w:rsidR="00D204E8" w:rsidRPr="00462D4C" w:rsidRDefault="00D204E8" w:rsidP="00462D4C">
            <w:pPr>
              <w:widowControl/>
              <w:snapToGrid w:val="0"/>
              <w:spacing w:line="400" w:lineRule="exact"/>
              <w:ind w:firstLineChars="200" w:firstLine="420"/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</w:pPr>
            <w:r w:rsidRPr="00462D4C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9. 自行组织维保所需的机械设备、器材、技术人员及维保材料等。</w:t>
            </w:r>
            <w:r w:rsidR="00462D4C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服务方</w:t>
            </w:r>
            <w:r w:rsidRPr="00462D4C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保证使用的维保材料确为维保所需并符合设备的技术条件，所有材料均为正规厂家合格产品且有国家有关部门认可的合格证、检测报告。</w:t>
            </w:r>
          </w:p>
          <w:p w:rsidR="00D204E8" w:rsidRPr="00462D4C" w:rsidRDefault="00D204E8" w:rsidP="00462D4C">
            <w:pPr>
              <w:widowControl/>
              <w:snapToGrid w:val="0"/>
              <w:spacing w:line="400" w:lineRule="exact"/>
              <w:ind w:firstLineChars="200" w:firstLine="420"/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</w:pPr>
            <w:r w:rsidRPr="00462D4C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10. 维保施工前必须进行技术分析（或标准检测）或技术准备。在施工过程中需保证航空器的安全，不影响机库的航空器维修工作；保证施工人员及现场人员的安全，杜绝人员安全方面的隐患。其中涉及安全的结构修理、改装等施工方案，应得到甲方及设计厂家的许可。同时在施工过程中要保证施工设备设施及现场设备设施的安全，杜绝设备设施安全方面的隐患。</w:t>
            </w:r>
          </w:p>
          <w:p w:rsidR="00462D4C" w:rsidRPr="00462D4C" w:rsidRDefault="00462D4C" w:rsidP="00462D4C">
            <w:pPr>
              <w:widowControl/>
              <w:snapToGrid w:val="0"/>
              <w:spacing w:line="400" w:lineRule="exact"/>
              <w:ind w:firstLineChars="200" w:firstLine="420"/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</w:pPr>
            <w:r w:rsidRPr="00462D4C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11.</w:t>
            </w:r>
            <w:r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服务方</w:t>
            </w:r>
            <w:r w:rsidRPr="00462D4C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负责因保养不当所造成的损坏件的免费调换。</w:t>
            </w:r>
          </w:p>
          <w:p w:rsidR="00462D4C" w:rsidRPr="00462D4C" w:rsidRDefault="00462D4C" w:rsidP="00462D4C">
            <w:pPr>
              <w:widowControl/>
              <w:snapToGrid w:val="0"/>
              <w:spacing w:line="400" w:lineRule="exact"/>
              <w:ind w:firstLineChars="200" w:firstLine="420"/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</w:pPr>
            <w:r w:rsidRPr="00462D4C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 xml:space="preserve">12. </w:t>
            </w:r>
            <w:r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服务方</w:t>
            </w:r>
            <w:r w:rsidRPr="00462D4C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完成本合同维保项目工作后，签署相应的维保工卡，由双方组织人员按照本合同的服务质量和服务项目进行验收。</w:t>
            </w:r>
            <w:r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服务方</w:t>
            </w:r>
            <w:r w:rsidRPr="00462D4C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负责对每年度中频电及地井维护保养情况记录进行汇总和总结，并编写年度中频电及地井维护保养报告，在全年维护保养工作完成后1个月内提供给甲方，作为年度机库维护保养工作的总结年度费用结算的参考资料。同时，也作为甲方机库维护保养档案进行保存。</w:t>
            </w:r>
          </w:p>
          <w:p w:rsidR="00462D4C" w:rsidRPr="00D204E8" w:rsidRDefault="00462D4C" w:rsidP="00462D4C">
            <w:pPr>
              <w:widowControl/>
              <w:snapToGrid w:val="0"/>
              <w:spacing w:line="400" w:lineRule="exact"/>
              <w:ind w:firstLineChars="200" w:firstLine="420"/>
            </w:pPr>
            <w:r w:rsidRPr="00462D4C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13. 每周期（12个月）项目验收合格后并在收到100％发票（带抵扣联的9％增值税专用发票）后60天内支付其总价款95％，剩余5％作为质保金在1年后支付。需甲方另行付费的材料费，按实际用量在</w:t>
            </w:r>
            <w:r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服务方</w:t>
            </w:r>
            <w:r w:rsidRPr="00462D4C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提供增值税专用发票后60天内结算。</w:t>
            </w:r>
          </w:p>
        </w:tc>
        <w:tc>
          <w:tcPr>
            <w:tcW w:w="899" w:type="dxa"/>
            <w:shd w:val="clear" w:color="auto" w:fill="FFFFFF"/>
          </w:tcPr>
          <w:p w:rsidR="00091B0A" w:rsidRPr="00246833" w:rsidRDefault="00091B0A" w:rsidP="00AE6E5B">
            <w:pPr>
              <w:widowControl/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</w:rPr>
            </w:pPr>
            <w:r w:rsidRPr="00246833"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</w:rPr>
              <w:lastRenderedPageBreak/>
              <w:t></w:t>
            </w:r>
            <w:r w:rsidRPr="00246833"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</w:rPr>
              <w:tab/>
            </w:r>
          </w:p>
          <w:p w:rsidR="00091B0A" w:rsidRPr="00246833" w:rsidRDefault="00091B0A" w:rsidP="009F2358">
            <w:pPr>
              <w:widowControl/>
              <w:spacing w:line="400" w:lineRule="atLeast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</w:tr>
      <w:tr w:rsidR="00091B0A" w:rsidRPr="00AE6E5B" w:rsidTr="00646FA9">
        <w:trPr>
          <w:trHeight w:val="20"/>
          <w:jc w:val="center"/>
        </w:trPr>
        <w:tc>
          <w:tcPr>
            <w:tcW w:w="1987" w:type="dxa"/>
            <w:shd w:val="clear" w:color="auto" w:fill="FFFFFF"/>
            <w:tcMar>
              <w:left w:w="108" w:type="dxa"/>
              <w:right w:w="108" w:type="dxa"/>
            </w:tcMar>
          </w:tcPr>
          <w:p w:rsidR="00091B0A" w:rsidRDefault="009C6003" w:rsidP="00C91F33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lastRenderedPageBreak/>
              <w:t>商务条款</w:t>
            </w:r>
          </w:p>
        </w:tc>
        <w:tc>
          <w:tcPr>
            <w:tcW w:w="7087" w:type="dxa"/>
            <w:gridSpan w:val="5"/>
          </w:tcPr>
          <w:p w:rsidR="00091B0A" w:rsidRPr="00246833" w:rsidRDefault="009C6003" w:rsidP="009C6003">
            <w:pPr>
              <w:widowControl/>
              <w:snapToGrid w:val="0"/>
              <w:spacing w:line="400" w:lineRule="exac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246833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每年维修保养完成后，</w:t>
            </w:r>
            <w:r w:rsidR="00462D4C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服务方</w:t>
            </w:r>
            <w:r w:rsidRPr="00246833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提供13%的增值税专票，甲方收到100%发票（13%增值税专用发票）后90天内支付95%的合同价款，剩余5%作为质保金，质保期满一年后无息返还。单独的维修项目在每次维修任务完成后单独结算。</w:t>
            </w:r>
          </w:p>
        </w:tc>
        <w:tc>
          <w:tcPr>
            <w:tcW w:w="899" w:type="dxa"/>
            <w:shd w:val="clear" w:color="auto" w:fill="FFFFFF"/>
          </w:tcPr>
          <w:p w:rsidR="009C6003" w:rsidRPr="00246833" w:rsidRDefault="009C6003" w:rsidP="009C6003">
            <w:pPr>
              <w:pStyle w:val="a0"/>
              <w:ind w:firstLine="0"/>
              <w:rPr>
                <w:color w:val="000000" w:themeColor="text1"/>
              </w:rPr>
            </w:pPr>
          </w:p>
        </w:tc>
      </w:tr>
      <w:tr w:rsidR="009C6003" w:rsidRPr="00AE6E5B" w:rsidTr="009C6003">
        <w:trPr>
          <w:trHeight w:val="564"/>
          <w:jc w:val="center"/>
        </w:trPr>
        <w:tc>
          <w:tcPr>
            <w:tcW w:w="1987" w:type="dxa"/>
            <w:shd w:val="clear" w:color="auto" w:fill="FFFFFF"/>
            <w:tcMar>
              <w:left w:w="108" w:type="dxa"/>
              <w:right w:w="108" w:type="dxa"/>
            </w:tcMar>
          </w:tcPr>
          <w:p w:rsidR="009C6003" w:rsidRPr="00AE6E5B" w:rsidRDefault="009C6003" w:rsidP="00C91F33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备注：</w:t>
            </w:r>
          </w:p>
        </w:tc>
        <w:tc>
          <w:tcPr>
            <w:tcW w:w="7087" w:type="dxa"/>
            <w:gridSpan w:val="5"/>
          </w:tcPr>
          <w:p w:rsidR="009C6003" w:rsidRPr="00246833" w:rsidRDefault="009C6003" w:rsidP="009C6003">
            <w:pPr>
              <w:widowControl/>
              <w:snapToGrid w:val="0"/>
              <w:spacing w:line="400" w:lineRule="exac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246833">
              <w:rPr>
                <w:rFonts w:ascii="微软雅黑" w:eastAsia="微软雅黑" w:hAnsi="微软雅黑" w:cs="华文楷体" w:hint="eastAsia"/>
                <w:color w:val="000000" w:themeColor="text1"/>
                <w:szCs w:val="21"/>
              </w:rPr>
              <w:t>具体维保内容以维保工卡为准</w:t>
            </w:r>
          </w:p>
        </w:tc>
        <w:tc>
          <w:tcPr>
            <w:tcW w:w="899" w:type="dxa"/>
            <w:shd w:val="clear" w:color="auto" w:fill="FFFFFF"/>
          </w:tcPr>
          <w:p w:rsidR="009C6003" w:rsidRPr="00246833" w:rsidRDefault="009C6003" w:rsidP="009C6003">
            <w:pPr>
              <w:pStyle w:val="a0"/>
              <w:ind w:firstLine="0"/>
              <w:rPr>
                <w:color w:val="000000" w:themeColor="text1"/>
              </w:rPr>
            </w:pPr>
          </w:p>
        </w:tc>
      </w:tr>
      <w:tr w:rsidR="00531BE0" w:rsidRPr="00AE6E5B" w:rsidTr="00646FA9">
        <w:trPr>
          <w:trHeight w:val="20"/>
          <w:jc w:val="center"/>
        </w:trPr>
        <w:tc>
          <w:tcPr>
            <w:tcW w:w="9973" w:type="dxa"/>
            <w:gridSpan w:val="7"/>
            <w:shd w:val="clear" w:color="auto" w:fill="FFFFFF"/>
            <w:tcMar>
              <w:left w:w="108" w:type="dxa"/>
              <w:right w:w="108" w:type="dxa"/>
            </w:tcMar>
          </w:tcPr>
          <w:p w:rsidR="00531BE0" w:rsidRPr="00AE6E5B" w:rsidRDefault="00531BE0" w:rsidP="00C91F3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AE6E5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日期：    年     月     日</w:t>
            </w:r>
          </w:p>
        </w:tc>
      </w:tr>
      <w:tr w:rsidR="00531BE0" w:rsidRPr="00AE6E5B" w:rsidTr="00393F53">
        <w:trPr>
          <w:trHeight w:val="601"/>
          <w:jc w:val="center"/>
        </w:trPr>
        <w:tc>
          <w:tcPr>
            <w:tcW w:w="9973" w:type="dxa"/>
            <w:gridSpan w:val="7"/>
            <w:shd w:val="clear" w:color="auto" w:fill="FFFFFF"/>
            <w:tcMar>
              <w:left w:w="108" w:type="dxa"/>
              <w:right w:w="108" w:type="dxa"/>
            </w:tcMar>
          </w:tcPr>
          <w:p w:rsidR="00531BE0" w:rsidRPr="00AE6E5B" w:rsidRDefault="00531BE0">
            <w:pPr>
              <w:pStyle w:val="a4"/>
              <w:widowControl/>
              <w:ind w:firstLine="5040"/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 w:rsidR="00C91F33" w:rsidRDefault="00C91F33" w:rsidP="00713B33">
      <w:pPr>
        <w:pStyle w:val="a4"/>
        <w:widowControl/>
        <w:shd w:val="clear" w:color="auto" w:fill="FFFFFF"/>
        <w:jc w:val="left"/>
        <w:rPr>
          <w:rFonts w:ascii="微软雅黑" w:eastAsia="微软雅黑" w:hAnsi="微软雅黑" w:cs="微软雅黑"/>
          <w:b/>
          <w:bCs/>
          <w:color w:val="000000"/>
          <w:sz w:val="28"/>
          <w:szCs w:val="28"/>
          <w:shd w:val="clear" w:color="auto" w:fill="FFFFFF"/>
        </w:rPr>
      </w:pPr>
    </w:p>
    <w:sectPr w:rsidR="00C91F33" w:rsidSect="00177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1F9" w:rsidRDefault="008B01F9" w:rsidP="00715140">
      <w:r>
        <w:separator/>
      </w:r>
    </w:p>
  </w:endnote>
  <w:endnote w:type="continuationSeparator" w:id="1">
    <w:p w:rsidR="008B01F9" w:rsidRDefault="008B01F9" w:rsidP="00715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1F9" w:rsidRDefault="008B01F9" w:rsidP="00715140">
      <w:r>
        <w:separator/>
      </w:r>
    </w:p>
  </w:footnote>
  <w:footnote w:type="continuationSeparator" w:id="1">
    <w:p w:rsidR="008B01F9" w:rsidRDefault="008B01F9" w:rsidP="00715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E12"/>
    <w:multiLevelType w:val="hybridMultilevel"/>
    <w:tmpl w:val="5352C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933DD3"/>
    <w:multiLevelType w:val="hybridMultilevel"/>
    <w:tmpl w:val="7CCC22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861891"/>
    <w:multiLevelType w:val="hybridMultilevel"/>
    <w:tmpl w:val="CA4A2F84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2EEA1934">
      <w:start w:val="1"/>
      <w:numFmt w:val="decimal"/>
      <w:lvlText w:val="%2."/>
      <w:lvlJc w:val="left"/>
      <w:pPr>
        <w:ind w:left="1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4993F19"/>
    <w:multiLevelType w:val="hybridMultilevel"/>
    <w:tmpl w:val="B706CFD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397986"/>
    <w:multiLevelType w:val="hybridMultilevel"/>
    <w:tmpl w:val="1D6063C0"/>
    <w:lvl w:ilvl="0" w:tplc="ECA62C6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25200B"/>
    <w:multiLevelType w:val="hybridMultilevel"/>
    <w:tmpl w:val="F19C8EDC"/>
    <w:lvl w:ilvl="0" w:tplc="E584A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212AD3"/>
    <w:rsid w:val="000103E5"/>
    <w:rsid w:val="00022D9D"/>
    <w:rsid w:val="00065629"/>
    <w:rsid w:val="00091B0A"/>
    <w:rsid w:val="000C283F"/>
    <w:rsid w:val="000E5BC7"/>
    <w:rsid w:val="00105272"/>
    <w:rsid w:val="00113EF7"/>
    <w:rsid w:val="0011750D"/>
    <w:rsid w:val="00136F02"/>
    <w:rsid w:val="00177483"/>
    <w:rsid w:val="001E4DFC"/>
    <w:rsid w:val="001F7AB6"/>
    <w:rsid w:val="0022614F"/>
    <w:rsid w:val="00246833"/>
    <w:rsid w:val="00274360"/>
    <w:rsid w:val="002872C7"/>
    <w:rsid w:val="0029758E"/>
    <w:rsid w:val="002C63B1"/>
    <w:rsid w:val="002F3214"/>
    <w:rsid w:val="0030393B"/>
    <w:rsid w:val="003542EE"/>
    <w:rsid w:val="00372A7F"/>
    <w:rsid w:val="00383F19"/>
    <w:rsid w:val="00393F53"/>
    <w:rsid w:val="003D48B6"/>
    <w:rsid w:val="003E772C"/>
    <w:rsid w:val="003F637C"/>
    <w:rsid w:val="00414112"/>
    <w:rsid w:val="00454090"/>
    <w:rsid w:val="00462D4C"/>
    <w:rsid w:val="004858C1"/>
    <w:rsid w:val="00495324"/>
    <w:rsid w:val="00496172"/>
    <w:rsid w:val="004C6C50"/>
    <w:rsid w:val="004E5E6E"/>
    <w:rsid w:val="005032D6"/>
    <w:rsid w:val="00506200"/>
    <w:rsid w:val="00531BE0"/>
    <w:rsid w:val="00564C2D"/>
    <w:rsid w:val="0058078F"/>
    <w:rsid w:val="005A3724"/>
    <w:rsid w:val="005A3E04"/>
    <w:rsid w:val="005E7314"/>
    <w:rsid w:val="006367BE"/>
    <w:rsid w:val="00646FA9"/>
    <w:rsid w:val="00665903"/>
    <w:rsid w:val="00713B33"/>
    <w:rsid w:val="00715140"/>
    <w:rsid w:val="00741CA5"/>
    <w:rsid w:val="0075464A"/>
    <w:rsid w:val="00756AAC"/>
    <w:rsid w:val="007924BA"/>
    <w:rsid w:val="00815C29"/>
    <w:rsid w:val="00870B48"/>
    <w:rsid w:val="008A53D4"/>
    <w:rsid w:val="008B01F9"/>
    <w:rsid w:val="008E0997"/>
    <w:rsid w:val="00903768"/>
    <w:rsid w:val="00906504"/>
    <w:rsid w:val="0091302B"/>
    <w:rsid w:val="00931319"/>
    <w:rsid w:val="0096089B"/>
    <w:rsid w:val="00966C9C"/>
    <w:rsid w:val="00966CF4"/>
    <w:rsid w:val="009678F5"/>
    <w:rsid w:val="009A414A"/>
    <w:rsid w:val="009C6003"/>
    <w:rsid w:val="009E467B"/>
    <w:rsid w:val="009F2358"/>
    <w:rsid w:val="00A35350"/>
    <w:rsid w:val="00A44532"/>
    <w:rsid w:val="00A660B2"/>
    <w:rsid w:val="00A83A05"/>
    <w:rsid w:val="00AA357C"/>
    <w:rsid w:val="00AD11C4"/>
    <w:rsid w:val="00AD2F53"/>
    <w:rsid w:val="00AD4894"/>
    <w:rsid w:val="00AE6510"/>
    <w:rsid w:val="00AE6E5B"/>
    <w:rsid w:val="00B32873"/>
    <w:rsid w:val="00B46D81"/>
    <w:rsid w:val="00B652A4"/>
    <w:rsid w:val="00B7184B"/>
    <w:rsid w:val="00BD550A"/>
    <w:rsid w:val="00BF35C4"/>
    <w:rsid w:val="00C01BEE"/>
    <w:rsid w:val="00C02577"/>
    <w:rsid w:val="00C24FF9"/>
    <w:rsid w:val="00C34A6B"/>
    <w:rsid w:val="00C677FE"/>
    <w:rsid w:val="00C72EFC"/>
    <w:rsid w:val="00C74D11"/>
    <w:rsid w:val="00C81C4F"/>
    <w:rsid w:val="00C91F33"/>
    <w:rsid w:val="00C972DE"/>
    <w:rsid w:val="00CE3A42"/>
    <w:rsid w:val="00D176AB"/>
    <w:rsid w:val="00D204E8"/>
    <w:rsid w:val="00D273A3"/>
    <w:rsid w:val="00D33517"/>
    <w:rsid w:val="00D62A91"/>
    <w:rsid w:val="00D90348"/>
    <w:rsid w:val="00DA16CB"/>
    <w:rsid w:val="00DB3546"/>
    <w:rsid w:val="00DC483E"/>
    <w:rsid w:val="00E058FF"/>
    <w:rsid w:val="00E20957"/>
    <w:rsid w:val="00E22DF5"/>
    <w:rsid w:val="00E3393D"/>
    <w:rsid w:val="00E67E30"/>
    <w:rsid w:val="00E90350"/>
    <w:rsid w:val="00EB290B"/>
    <w:rsid w:val="00EB534B"/>
    <w:rsid w:val="00EF0033"/>
    <w:rsid w:val="00F922CE"/>
    <w:rsid w:val="00F96EB1"/>
    <w:rsid w:val="00FA407E"/>
    <w:rsid w:val="73212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7748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D62A9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正文格式"/>
    <w:basedOn w:val="a"/>
    <w:qFormat/>
    <w:rsid w:val="00177483"/>
    <w:pPr>
      <w:widowControl/>
      <w:adjustRightInd w:val="0"/>
      <w:snapToGrid w:val="0"/>
      <w:spacing w:line="400" w:lineRule="atLeast"/>
      <w:ind w:firstLine="482"/>
      <w:textAlignment w:val="baseline"/>
    </w:pPr>
    <w:rPr>
      <w:sz w:val="24"/>
      <w:szCs w:val="20"/>
    </w:rPr>
  </w:style>
  <w:style w:type="paragraph" w:styleId="a4">
    <w:name w:val="Normal (Web)"/>
    <w:basedOn w:val="a"/>
    <w:uiPriority w:val="99"/>
    <w:unhideWhenUsed/>
    <w:rsid w:val="00177483"/>
    <w:rPr>
      <w:sz w:val="24"/>
    </w:rPr>
  </w:style>
  <w:style w:type="paragraph" w:styleId="a5">
    <w:name w:val="List Paragraph"/>
    <w:basedOn w:val="a"/>
    <w:uiPriority w:val="34"/>
    <w:qFormat/>
    <w:rsid w:val="00F96EB1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6">
    <w:name w:val="header"/>
    <w:basedOn w:val="a"/>
    <w:link w:val="Char"/>
    <w:rsid w:val="00715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715140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715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715140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D62A91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basedOn w:val="a1"/>
    <w:uiPriority w:val="99"/>
    <w:unhideWhenUsed/>
    <w:rsid w:val="00372A7F"/>
    <w:rPr>
      <w:color w:val="0000FF"/>
      <w:u w:val="single"/>
    </w:rPr>
  </w:style>
  <w:style w:type="character" w:customStyle="1" w:styleId="normalchar1">
    <w:name w:val="normal__char1"/>
    <w:qFormat/>
    <w:rsid w:val="00D204E8"/>
    <w:rPr>
      <w:rFonts w:ascii="Times New Roman" w:eastAsia="宋体" w:hAnsi="Times New Roman" w:cs="Times New Roman" w:hint="default"/>
      <w:kern w:val="44"/>
      <w:sz w:val="20"/>
      <w:szCs w:val="20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232</Words>
  <Characters>1323</Characters>
  <Application>Microsoft Office Word</Application>
  <DocSecurity>0</DocSecurity>
  <Lines>11</Lines>
  <Paragraphs>3</Paragraphs>
  <ScaleCrop>false</ScaleCrop>
  <Company>P R C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湖海散人</dc:creator>
  <cp:lastModifiedBy>tangqiuyun</cp:lastModifiedBy>
  <cp:revision>11</cp:revision>
  <dcterms:created xsi:type="dcterms:W3CDTF">2023-05-17T08:58:00Z</dcterms:created>
  <dcterms:modified xsi:type="dcterms:W3CDTF">2023-09-28T04:07:00Z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D5C1B3E8F14A4C129B10E2A92751A7E6</vt:lpwstr>
  </property>
</Properties>
</file>