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A0AFF" w14:textId="77777777" w:rsidR="00B765D7" w:rsidRDefault="00000000">
      <w:pPr>
        <w:pStyle w:val="a4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硬度</w:t>
      </w:r>
      <w:proofErr w:type="gramStart"/>
      <w:r>
        <w:rPr>
          <w:rFonts w:hint="eastAsia"/>
          <w:lang w:val="en-US" w:eastAsia="zh-CN"/>
        </w:rPr>
        <w:t>计技术</w:t>
      </w:r>
      <w:proofErr w:type="gramEnd"/>
      <w:r>
        <w:rPr>
          <w:rFonts w:hint="eastAsia"/>
          <w:lang w:val="en-US" w:eastAsia="zh-CN"/>
        </w:rPr>
        <w:t>要求</w:t>
      </w:r>
    </w:p>
    <w:tbl>
      <w:tblPr>
        <w:tblW w:w="0" w:type="auto"/>
        <w:tblInd w:w="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4"/>
        <w:gridCol w:w="8621"/>
      </w:tblGrid>
      <w:tr w:rsidR="00B765D7" w14:paraId="409E6008" w14:textId="77777777">
        <w:tc>
          <w:tcPr>
            <w:tcW w:w="824" w:type="dxa"/>
            <w:vAlign w:val="center"/>
          </w:tcPr>
          <w:p w14:paraId="1E64C1FD" w14:textId="77777777" w:rsidR="00B765D7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21" w:type="dxa"/>
            <w:shd w:val="clear" w:color="auto" w:fill="D7D7D7"/>
          </w:tcPr>
          <w:p w14:paraId="1A72C939" w14:textId="77777777" w:rsidR="00B765D7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设备名称：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硬度计</w:t>
            </w:r>
          </w:p>
        </w:tc>
      </w:tr>
      <w:tr w:rsidR="00B765D7" w14:paraId="4742E195" w14:textId="77777777">
        <w:tc>
          <w:tcPr>
            <w:tcW w:w="824" w:type="dxa"/>
            <w:vAlign w:val="center"/>
          </w:tcPr>
          <w:p w14:paraId="16D6E1F5" w14:textId="77777777" w:rsidR="00B765D7" w:rsidRDefault="00000000">
            <w:pPr>
              <w:pStyle w:val="TableParagraph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21" w:type="dxa"/>
            <w:shd w:val="clear" w:color="auto" w:fill="D7D7D7"/>
          </w:tcPr>
          <w:p w14:paraId="4CA73FAE" w14:textId="77777777" w:rsidR="00B765D7" w:rsidRDefault="00000000">
            <w:pPr>
              <w:pStyle w:val="TableParagraph"/>
              <w:spacing w:before="68"/>
              <w:ind w:left="108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数量：壹台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eastAsia="zh-CN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套）</w:t>
            </w:r>
          </w:p>
        </w:tc>
      </w:tr>
      <w:tr w:rsidR="00B765D7" w14:paraId="077DC361" w14:textId="77777777">
        <w:tc>
          <w:tcPr>
            <w:tcW w:w="824" w:type="dxa"/>
            <w:vAlign w:val="center"/>
          </w:tcPr>
          <w:p w14:paraId="6BD4F621" w14:textId="77777777" w:rsidR="00B765D7" w:rsidRDefault="00000000">
            <w:pPr>
              <w:pStyle w:val="TableParagraph"/>
              <w:spacing w:before="78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21" w:type="dxa"/>
            <w:shd w:val="clear" w:color="auto" w:fill="D7D7D7"/>
          </w:tcPr>
          <w:p w14:paraId="63F34A7F" w14:textId="77777777" w:rsidR="00B765D7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设备用途及基本要求：</w:t>
            </w:r>
          </w:p>
        </w:tc>
      </w:tr>
      <w:tr w:rsidR="00B765D7" w14:paraId="6168DDEF" w14:textId="77777777">
        <w:tc>
          <w:tcPr>
            <w:tcW w:w="824" w:type="dxa"/>
            <w:vAlign w:val="center"/>
          </w:tcPr>
          <w:p w14:paraId="7EBD2086" w14:textId="77777777" w:rsidR="00B765D7" w:rsidRDefault="00000000">
            <w:pPr>
              <w:pStyle w:val="TableParagraph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3.1</w:t>
            </w:r>
          </w:p>
        </w:tc>
        <w:tc>
          <w:tcPr>
            <w:tcW w:w="8621" w:type="dxa"/>
          </w:tcPr>
          <w:p w14:paraId="3895AF0A" w14:textId="77777777" w:rsidR="00B765D7" w:rsidRDefault="00000000">
            <w:pPr>
              <w:pStyle w:val="TableParagraph"/>
              <w:spacing w:line="400" w:lineRule="atLeast"/>
              <w:ind w:left="108" w:right="139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用途：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测量金属及其覆盖层的硬度（努式、维氏）。</w:t>
            </w:r>
          </w:p>
        </w:tc>
      </w:tr>
      <w:tr w:rsidR="00B765D7" w14:paraId="73CA4A77" w14:textId="77777777">
        <w:tc>
          <w:tcPr>
            <w:tcW w:w="824" w:type="dxa"/>
            <w:vAlign w:val="center"/>
          </w:tcPr>
          <w:p w14:paraId="0F1708B9" w14:textId="77777777" w:rsidR="00B765D7" w:rsidRDefault="00000000">
            <w:pPr>
              <w:pStyle w:val="TableParagraph"/>
              <w:spacing w:before="1"/>
              <w:ind w:right="33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8621" w:type="dxa"/>
          </w:tcPr>
          <w:p w14:paraId="01B64E18" w14:textId="77777777" w:rsidR="00B765D7" w:rsidRDefault="00000000">
            <w:pPr>
              <w:numPr>
                <w:ilvl w:val="255"/>
                <w:numId w:val="0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基本要求</w:t>
            </w:r>
          </w:p>
          <w:p w14:paraId="49DE9AA0" w14:textId="77777777" w:rsidR="00B765D7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符合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ASTM B578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ASTM E92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ASTM E140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ASTM E384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的要求</w:t>
            </w:r>
          </w:p>
          <w:p w14:paraId="7BDED6E6" w14:textId="77777777" w:rsidR="00B765D7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可测量维氏硬度、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努式硬度</w:t>
            </w:r>
            <w:proofErr w:type="gramEnd"/>
          </w:p>
          <w:p w14:paraId="2EE7202E" w14:textId="77777777" w:rsidR="00B765D7" w:rsidRDefault="00000000">
            <w:pPr>
              <w:numPr>
                <w:ilvl w:val="0"/>
                <w:numId w:val="1"/>
              </w:num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可测量覆盖层（厚度约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25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μ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m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）横截面的中心硬度</w:t>
            </w:r>
          </w:p>
        </w:tc>
      </w:tr>
      <w:tr w:rsidR="00B765D7" w14:paraId="495805C1" w14:textId="77777777">
        <w:tc>
          <w:tcPr>
            <w:tcW w:w="824" w:type="dxa"/>
            <w:vAlign w:val="center"/>
          </w:tcPr>
          <w:p w14:paraId="3297BB8E" w14:textId="77777777" w:rsidR="00B765D7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21" w:type="dxa"/>
            <w:shd w:val="clear" w:color="auto" w:fill="D7D7D7"/>
          </w:tcPr>
          <w:p w14:paraId="02030809" w14:textId="77777777" w:rsidR="00B765D7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设备制造标准及依据</w:t>
            </w:r>
          </w:p>
        </w:tc>
      </w:tr>
      <w:tr w:rsidR="00B765D7" w14:paraId="1A559C06" w14:textId="77777777">
        <w:tc>
          <w:tcPr>
            <w:tcW w:w="824" w:type="dxa"/>
            <w:vAlign w:val="center"/>
          </w:tcPr>
          <w:p w14:paraId="50E197B4" w14:textId="77777777" w:rsidR="00B765D7" w:rsidRDefault="00000000">
            <w:pPr>
              <w:pStyle w:val="TableParagraph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621" w:type="dxa"/>
          </w:tcPr>
          <w:p w14:paraId="7985B605" w14:textId="77777777" w:rsidR="00B765D7" w:rsidRDefault="00000000">
            <w:pPr>
              <w:pStyle w:val="TableParagraph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 xml:space="preserve">ASTM B578-21 Standard Test Method for </w:t>
            </w:r>
            <w:proofErr w:type="spellStart"/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>Microindentation</w:t>
            </w:r>
            <w:proofErr w:type="spellEnd"/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 xml:space="preserve"> Hardness of Electroplated Coatings</w:t>
            </w:r>
          </w:p>
          <w:p w14:paraId="19A4D1A9" w14:textId="77777777" w:rsidR="00B765D7" w:rsidRDefault="00000000">
            <w:pPr>
              <w:pStyle w:val="TableParagraph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>ASTM E92-23 Standard Test Methods for Vickers Hardness and Knoop Hardness of Metallic Materials</w:t>
            </w:r>
          </w:p>
          <w:p w14:paraId="630BECFA" w14:textId="77777777" w:rsidR="00B765D7" w:rsidRDefault="00000000">
            <w:pPr>
              <w:pStyle w:val="TableParagraph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>ASTM E140-12</w:t>
            </w:r>
            <w:proofErr w:type="gramStart"/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>B(</w:t>
            </w:r>
            <w:proofErr w:type="gramEnd"/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 xml:space="preserve">2019)e1 Standard Hardness Conversion Tables for Metals Relationship Among Brinell Hardness, Vickers Hardness, Rockwell Hardness, Superficial Hardness, Knoop Hardness, </w:t>
            </w:r>
            <w:proofErr w:type="spellStart"/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>Scleroscope</w:t>
            </w:r>
            <w:proofErr w:type="spellEnd"/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 xml:space="preserve"> Hardness, and Leeb Hardness</w:t>
            </w:r>
          </w:p>
          <w:p w14:paraId="5B8F0F95" w14:textId="77777777" w:rsidR="00B765D7" w:rsidRDefault="00000000">
            <w:pPr>
              <w:pStyle w:val="TableParagraph"/>
              <w:numPr>
                <w:ilvl w:val="0"/>
                <w:numId w:val="2"/>
              </w:numPr>
              <w:autoSpaceDE/>
              <w:autoSpaceDN/>
              <w:spacing w:line="360" w:lineRule="auto"/>
              <w:ind w:right="198"/>
              <w:rPr>
                <w:rFonts w:ascii="Times New Roman" w:hAnsi="Times New Roman" w:cs="Times New Roman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pacing w:val="-6"/>
                <w:sz w:val="24"/>
                <w:szCs w:val="24"/>
                <w:lang w:val="en-US" w:eastAsia="zh-CN"/>
              </w:rPr>
              <w:t>ASTM E384 -22 Test Method for Knoop and Vickers Hardness of Materials</w:t>
            </w:r>
          </w:p>
        </w:tc>
      </w:tr>
      <w:tr w:rsidR="00B765D7" w14:paraId="32567310" w14:textId="77777777">
        <w:tc>
          <w:tcPr>
            <w:tcW w:w="824" w:type="dxa"/>
            <w:vAlign w:val="center"/>
          </w:tcPr>
          <w:p w14:paraId="614F644D" w14:textId="77777777" w:rsidR="00B765D7" w:rsidRDefault="00000000">
            <w:pPr>
              <w:pStyle w:val="TableParagraph"/>
              <w:spacing w:before="68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21" w:type="dxa"/>
            <w:shd w:val="clear" w:color="auto" w:fill="D7D7D7"/>
          </w:tcPr>
          <w:p w14:paraId="3DC7BACF" w14:textId="77777777" w:rsidR="00B765D7" w:rsidRDefault="00000000">
            <w:pPr>
              <w:pStyle w:val="TableParagraph"/>
              <w:spacing w:before="68"/>
              <w:ind w:left="10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设备的构成概述及要求</w:t>
            </w:r>
          </w:p>
        </w:tc>
      </w:tr>
      <w:tr w:rsidR="00B765D7" w14:paraId="499854D3" w14:textId="77777777">
        <w:tc>
          <w:tcPr>
            <w:tcW w:w="824" w:type="dxa"/>
            <w:vAlign w:val="center"/>
          </w:tcPr>
          <w:p w14:paraId="3988FAD0" w14:textId="77777777" w:rsidR="00B765D7" w:rsidRDefault="00000000">
            <w:pPr>
              <w:pStyle w:val="TableParagraph"/>
              <w:spacing w:before="1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5.1</w:t>
            </w:r>
          </w:p>
        </w:tc>
        <w:tc>
          <w:tcPr>
            <w:tcW w:w="8621" w:type="dxa"/>
          </w:tcPr>
          <w:p w14:paraId="570ADAC6" w14:textId="77777777" w:rsidR="00B765D7" w:rsidRDefault="0000000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支持测量金属及其覆盖层的维氏硬度、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努式硬度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的硬度计，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台。</w:t>
            </w:r>
          </w:p>
          <w:p w14:paraId="5677B645" w14:textId="77777777" w:rsidR="00B765D7" w:rsidRDefault="00000000">
            <w:pPr>
              <w:numPr>
                <w:ilvl w:val="0"/>
                <w:numId w:val="3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目镜、物镜、转塔、压头、影像系统、软件、标准硬度块、计算机等，可配合硬度计完成硬度测量的全部附件，共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套。</w:t>
            </w:r>
          </w:p>
        </w:tc>
      </w:tr>
      <w:tr w:rsidR="00B765D7" w14:paraId="3190C627" w14:textId="77777777">
        <w:tc>
          <w:tcPr>
            <w:tcW w:w="824" w:type="dxa"/>
            <w:vAlign w:val="center"/>
          </w:tcPr>
          <w:p w14:paraId="73FB01BC" w14:textId="77777777" w:rsidR="00B765D7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21" w:type="dxa"/>
            <w:shd w:val="clear" w:color="auto" w:fill="D7D7D7"/>
          </w:tcPr>
          <w:p w14:paraId="7F7E7664" w14:textId="77777777" w:rsidR="00B765D7" w:rsidRDefault="00000000">
            <w:pPr>
              <w:pStyle w:val="TableParagraph"/>
              <w:spacing w:before="70"/>
              <w:ind w:left="108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主要技术参数：</w:t>
            </w:r>
          </w:p>
        </w:tc>
      </w:tr>
      <w:tr w:rsidR="00B765D7" w14:paraId="2E65FE15" w14:textId="77777777">
        <w:tc>
          <w:tcPr>
            <w:tcW w:w="824" w:type="dxa"/>
            <w:shd w:val="clear" w:color="auto" w:fill="CAEACE" w:themeFill="background1"/>
            <w:vAlign w:val="center"/>
          </w:tcPr>
          <w:p w14:paraId="1A0E8855" w14:textId="77777777" w:rsidR="00B765D7" w:rsidRDefault="00000000">
            <w:pPr>
              <w:pStyle w:val="TableParagraph"/>
              <w:spacing w:before="70"/>
              <w:ind w:right="330"/>
              <w:jc w:val="center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6.1</w:t>
            </w:r>
          </w:p>
        </w:tc>
        <w:tc>
          <w:tcPr>
            <w:tcW w:w="8621" w:type="dxa"/>
            <w:shd w:val="clear" w:color="auto" w:fill="CAEACE" w:themeFill="background1"/>
          </w:tcPr>
          <w:p w14:paraId="3A90E744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标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尺：维氏硬度（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HV0.001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HV0.01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HV0.015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HV0.02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HV0.025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HV0.05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HV0.3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HV0.5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9.087N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）、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HV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19.61N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））；</w:t>
            </w: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努式硬度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HK0.001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HK0.01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HK0.015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HK0.02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HK0.025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HK0.05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HK0.1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HK0.2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HK0.3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HK0.5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9.087N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）、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HK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19.61N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））。</w:t>
            </w:r>
          </w:p>
          <w:p w14:paraId="6404F2FE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  <w:t>试验力：</w:t>
            </w:r>
          </w:p>
          <w:p w14:paraId="2CEAEB91" w14:textId="77777777" w:rsidR="00B765D7" w:rsidRDefault="00000000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维氏硬度：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0.001kgf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0.015kgf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0.02kgf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0.025kgf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lastRenderedPageBreak/>
              <w:t>0.05kgf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0.2kgf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0.3kgf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2kgf</w:t>
            </w:r>
          </w:p>
          <w:p w14:paraId="4B5BE5BA" w14:textId="77777777" w:rsidR="00B765D7" w:rsidRDefault="00000000">
            <w:pPr>
              <w:numPr>
                <w:ilvl w:val="0"/>
                <w:numId w:val="5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 w:eastAsia="zh-CN"/>
              </w:rPr>
            </w:pPr>
            <w:proofErr w:type="gramStart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努式硬度</w:t>
            </w:r>
            <w:proofErr w:type="gramEnd"/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：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0.001kgf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0.015kgf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0.02kgf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0.025kgf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0.05kgf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0.2kgf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0.3kgf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0.5kgf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1kgf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2kgf</w:t>
            </w:r>
            <w:r>
              <w:rPr>
                <w:rFonts w:ascii="Times New Roman" w:hAnsi="Times New Roman" w:cs="Times New Roman" w:hint="eastAsia"/>
                <w:color w:val="000000" w:themeColor="text1"/>
                <w:sz w:val="24"/>
                <w:szCs w:val="24"/>
                <w:lang w:val="en-US" w:eastAsia="zh-CN"/>
              </w:rPr>
              <w:t>）。</w:t>
            </w:r>
          </w:p>
          <w:p w14:paraId="1F88F86C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试验力的施加：从初始施加试验力直到达到全部试验力的时间≤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秒；压头移动速率是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15~70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μ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m/S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之间的某一速度（通常不可调节）；全部试验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力时间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为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10~15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秒；若需要更长的施加试验力的时间，则公差为±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秒；自动加载、自动保压、自动卸荷。</w:t>
            </w:r>
          </w:p>
          <w:p w14:paraId="64AF17A1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自动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转塔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6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位自动转塔，可同时安装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个压头（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个维氏压头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+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个努式压头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）、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个物镜；压头与物镜可自动转换。</w:t>
            </w:r>
          </w:p>
          <w:p w14:paraId="2C2A77DF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压头：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标配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维氏压头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级）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个努式压头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级）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  <w:p w14:paraId="74456D91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目镜：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标配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个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倍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光学目镜。</w:t>
            </w:r>
          </w:p>
          <w:p w14:paraId="26893F6D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物镜：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4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个长工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作距离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高品质物镜（具有合适的数值孔径），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倍、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20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倍、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50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倍、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100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倍</w:t>
            </w:r>
          </w:p>
          <w:p w14:paraId="7A52F3DD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配备用于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~35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㎜镶嵌样品的专用夹具，保证在任意测量过程中样品夹持牢固。</w:t>
            </w:r>
          </w:p>
          <w:p w14:paraId="5B62591F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硬度计应能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保持试样的平面垂直于压头轴线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偏差＜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±1°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  <w:p w14:paraId="6701F392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显示：设备自带高分辨率显示屏，可显示所有预测量有关的信息。硬度值保留三位有效数字，且同步显示符合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ASTM E140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的硬度转换值（用户可按需选择、切换洛氏硬度、布氏硬度）。</w:t>
            </w:r>
          </w:p>
          <w:p w14:paraId="50EA04CD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自动工作台（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X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Y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Z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，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3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轴），尺寸＞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150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㎜×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150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㎜，行程＞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50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㎜×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50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㎜，分辨率：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μ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m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；主要应满足镶嵌式样（φ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30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㎜）的测量要求，可多种方式自由移动。</w:t>
            </w:r>
          </w:p>
          <w:p w14:paraId="3CC7015E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试样高度：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0~65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㎜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。</w:t>
            </w:r>
          </w:p>
          <w:p w14:paraId="398C4545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对于对角线长度为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1~200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μ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m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的压痕，试验机测量设备应能以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0.1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μ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m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的增量报告对角线的长度。</w:t>
            </w:r>
          </w:p>
          <w:p w14:paraId="554A44E7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必须能在镀层（厚度约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25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μ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m~38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μ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m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）横截面的中心附近</w:t>
            </w:r>
            <w:proofErr w:type="gramStart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作出</w:t>
            </w:r>
            <w:proofErr w:type="gramEnd"/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压痕。</w:t>
            </w:r>
          </w:p>
          <w:p w14:paraId="1D422DC8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可自动生成符合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ASTM E92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ASTM E384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要求的报告内容。</w:t>
            </w:r>
          </w:p>
          <w:p w14:paraId="0EE31FA9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lastRenderedPageBreak/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交货时应分别附带符合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ASTM E92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ASTM E384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要求的关于硬度计、压头与硬度块的计量报告（第三方检测机构出具）；执行压头与硬度块标定的机构应为国际实验室认可合作组织（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ILAC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）公认的按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ISO/IEC17011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要求运作的某已认可团体，按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ISO 17025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（或等效标准）要求认可的机构。</w:t>
            </w:r>
          </w:p>
          <w:p w14:paraId="3A424D3E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影像系统：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个像素≥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500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万的大尺寸高清摄像头，精确定位打压位置。</w:t>
            </w:r>
          </w:p>
          <w:p w14:paraId="1C9A1BDE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★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软件功能：可自由选择、标尺、保压时间、曲线、转换值、报告模板等，支持用户编辑报告形式；可使用全高清摄像头查看测试点的位置，自动打压并测量所有压痕；自动对焦、自动测量；生成、打印符合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ASTM E92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ASTM E384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要求的报告；支持免费升级。</w:t>
            </w:r>
          </w:p>
          <w:p w14:paraId="5F2BCD0B" w14:textId="77777777" w:rsidR="00B765D7" w:rsidRDefault="00000000">
            <w:pPr>
              <w:numPr>
                <w:ilvl w:val="0"/>
                <w:numId w:val="4"/>
              </w:numPr>
              <w:adjustRightInd w:val="0"/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计算机：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英特尔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代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i5-12400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、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16GB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内存、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512G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固态硬盘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+1TB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机械硬盘、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寸液晶显示器，预装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Windows10/11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操作系统，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Office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办公套件，品牌联想、戴尔、惠普</w:t>
            </w:r>
            <w:r>
              <w:rPr>
                <w:rFonts w:ascii="Times New Roman" w:hAnsi="Times New Roman" w:cs="Times New Roman" w:hint="eastAsia"/>
                <w:sz w:val="24"/>
                <w:szCs w:val="24"/>
                <w:lang w:val="en-US" w:eastAsia="zh-CN"/>
              </w:rPr>
              <w:t>。</w:t>
            </w:r>
          </w:p>
        </w:tc>
      </w:tr>
      <w:tr w:rsidR="00B765D7" w14:paraId="6FD235F9" w14:textId="77777777">
        <w:trPr>
          <w:trHeight w:val="398"/>
        </w:trPr>
        <w:tc>
          <w:tcPr>
            <w:tcW w:w="824" w:type="dxa"/>
            <w:tcBorders>
              <w:right w:val="single" w:sz="4" w:space="0" w:color="D7D7D7"/>
            </w:tcBorders>
            <w:vAlign w:val="center"/>
          </w:tcPr>
          <w:p w14:paraId="19D1325D" w14:textId="77777777" w:rsidR="00B765D7" w:rsidRDefault="00000000">
            <w:pPr>
              <w:pStyle w:val="TableParagraph"/>
              <w:spacing w:before="95"/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</w:t>
            </w:r>
          </w:p>
        </w:tc>
        <w:tc>
          <w:tcPr>
            <w:tcW w:w="8621" w:type="dxa"/>
            <w:shd w:val="clear" w:color="auto" w:fill="D7D7D7"/>
          </w:tcPr>
          <w:p w14:paraId="0985DF3F" w14:textId="77777777" w:rsidR="00B765D7" w:rsidRDefault="00000000">
            <w:pPr>
              <w:pStyle w:val="TableParagraph"/>
              <w:spacing w:before="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质保</w:t>
            </w:r>
          </w:p>
        </w:tc>
      </w:tr>
      <w:tr w:rsidR="00B765D7" w14:paraId="1FA75FE9" w14:textId="77777777">
        <w:trPr>
          <w:trHeight w:val="3201"/>
        </w:trPr>
        <w:tc>
          <w:tcPr>
            <w:tcW w:w="824" w:type="dxa"/>
            <w:vAlign w:val="center"/>
          </w:tcPr>
          <w:p w14:paraId="6E6D733C" w14:textId="77777777" w:rsidR="00B765D7" w:rsidRPr="00F61769" w:rsidRDefault="00000000" w:rsidP="00F61769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7.1</w:t>
            </w:r>
          </w:p>
        </w:tc>
        <w:tc>
          <w:tcPr>
            <w:tcW w:w="8621" w:type="dxa"/>
          </w:tcPr>
          <w:p w14:paraId="77EAC6A5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附件及备件</w:t>
            </w:r>
          </w:p>
          <w:p w14:paraId="04D39FE8" w14:textId="77777777" w:rsidR="00B765D7" w:rsidRPr="00F61769" w:rsidRDefault="00000000" w:rsidP="00F61769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7.1.1 </w:t>
            </w:r>
            <w:r w:rsidRPr="00F61769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卖方提供的设备应当配备所有必要的工作配件及附属部件，以确保在买方指定的作业场所完成安装与调试作业后，设备能够立即投入</w:t>
            </w:r>
            <w:r w:rsidRPr="00F61769">
              <w:rPr>
                <w:rFonts w:ascii="Times New Roman" w:hAnsi="Times New Roman" w:cs="Times New Roman" w:hint="eastAsia"/>
                <w:spacing w:val="4"/>
                <w:sz w:val="24"/>
                <w:szCs w:val="24"/>
                <w:lang w:val="en-US" w:eastAsia="zh-CN"/>
              </w:rPr>
              <w:t>适用</w:t>
            </w:r>
            <w:r w:rsidRPr="00F61769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。</w:t>
            </w:r>
          </w:p>
          <w:p w14:paraId="45AA336A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7.1.2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卖方负有提供配件及附属部件清单的责任，该清单应详尽列出各项目的数量、单价（须注明有效期限）、制造商信息以及遵循的标准等关键信息。若涉及的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“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配件与附件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”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不存在，卖方则无需编制并提供该清单。</w:t>
            </w:r>
          </w:p>
          <w:p w14:paraId="2D8342D3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7.1.3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卖方需提供设备的出厂合格证书、装箱明细表、操作说明书等文件，形式包括纸质文档</w:t>
            </w:r>
            <w:r w:rsidRPr="00F61769">
              <w:rPr>
                <w:rFonts w:ascii="Times New Roman" w:hAnsi="Times New Roman" w:cs="Times New Roman" w:hint="eastAsia"/>
                <w:spacing w:val="4"/>
                <w:szCs w:val="24"/>
                <w:lang w:val="en-US" w:eastAsia="zh-CN"/>
              </w:rPr>
              <w:t>或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电子版（以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U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盘为载体）。</w:t>
            </w:r>
          </w:p>
        </w:tc>
      </w:tr>
      <w:tr w:rsidR="00B765D7" w14:paraId="5D29BAC9" w14:textId="77777777">
        <w:tc>
          <w:tcPr>
            <w:tcW w:w="824" w:type="dxa"/>
            <w:vAlign w:val="center"/>
          </w:tcPr>
          <w:p w14:paraId="73173D84" w14:textId="77777777" w:rsidR="00B765D7" w:rsidRDefault="00000000">
            <w:pPr>
              <w:pStyle w:val="TableParagraph"/>
              <w:spacing w:before="233"/>
              <w:ind w:right="361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lang w:val="en-US" w:eastAsia="zh-CN"/>
              </w:rPr>
              <w:t>2</w:t>
            </w:r>
          </w:p>
        </w:tc>
        <w:tc>
          <w:tcPr>
            <w:tcW w:w="8621" w:type="dxa"/>
          </w:tcPr>
          <w:p w14:paraId="5D9FE2EB" w14:textId="77777777" w:rsidR="00B765D7" w:rsidRDefault="00000000">
            <w:pPr>
              <w:pStyle w:val="TableParagraph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zh-CN"/>
              </w:rPr>
              <w:t>预验收、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安装、调试</w:t>
            </w:r>
          </w:p>
          <w:p w14:paraId="59D135D9" w14:textId="77777777" w:rsidR="00B765D7" w:rsidRDefault="00000000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7.2.1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预验收：买卖双方于买方现场进行开箱验货操作。在此过程中，卖方负责卸货及开箱事宜。双方需核对发货清单，进行目视检查，确保不存在任何损坏、缺陷及数量不符等问题，并对检查情况做详细记录，最后由双方签字确认。</w:t>
            </w:r>
          </w:p>
          <w:p w14:paraId="4A0BB5ED" w14:textId="77777777" w:rsidR="00B765D7" w:rsidRDefault="00000000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7.2.2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若货物不符合技术要求或双方之约定，卖方应无偿进行更换或补发，并承担由此产生的费用。</w:t>
            </w:r>
          </w:p>
          <w:p w14:paraId="3E4F14BF" w14:textId="77777777" w:rsidR="00B765D7" w:rsidRDefault="00000000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lastRenderedPageBreak/>
              <w:t xml:space="preserve">7.2.3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若双方对设备质量、规格等产生分歧，买方有权委托第三方检测机构进行复验。检验机构出具的检验证明将作为买方向卖方提出更换、维修、补齐、索赔的有效证据。卖方应承担全部费用（包括第三方机构检测费用）。</w:t>
            </w:r>
          </w:p>
          <w:p w14:paraId="7ADBC072" w14:textId="77777777" w:rsidR="00B765D7" w:rsidRDefault="00000000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7.2.4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卖方负责设备的安装与调试工作，并承担相应的全部费用。买方派遣相关人员进行工程监理，卖方有义务和责任解答买方提出的相关问题。</w:t>
            </w:r>
          </w:p>
          <w:p w14:paraId="5B72C62E" w14:textId="77777777" w:rsidR="00B765D7" w:rsidRDefault="00000000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 xml:space="preserve">7.2.5 </w:t>
            </w:r>
            <w:r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卖方应对安装和调试过程进行详细记录（记录内容包含但不限于安装说明、调试项目、合格标准等）。当安装、调试结束且各项目、指标、参数等符合相关要求后，视为调试合格，双方应签字确认并进行备案。</w:t>
            </w:r>
          </w:p>
        </w:tc>
      </w:tr>
      <w:tr w:rsidR="00B765D7" w14:paraId="5A06791F" w14:textId="77777777">
        <w:tc>
          <w:tcPr>
            <w:tcW w:w="824" w:type="dxa"/>
            <w:vAlign w:val="center"/>
          </w:tcPr>
          <w:p w14:paraId="24EF9653" w14:textId="77777777" w:rsidR="00B765D7" w:rsidRPr="00F61769" w:rsidRDefault="00000000" w:rsidP="00F61769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lastRenderedPageBreak/>
              <w:t>7.3</w:t>
            </w:r>
          </w:p>
        </w:tc>
        <w:tc>
          <w:tcPr>
            <w:tcW w:w="8621" w:type="dxa"/>
          </w:tcPr>
          <w:p w14:paraId="1666B7CF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培训</w:t>
            </w:r>
          </w:p>
          <w:p w14:paraId="7DA648E0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7.3.1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卖方负责在生产现场对买方员工进行设备使用及维护的专业培训，此条款适用于操作复杂或价值较高的设备。</w:t>
            </w:r>
          </w:p>
          <w:p w14:paraId="6F46C0EB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7.3.2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双方应共同协商制定培训方案，包括课程内容、课时安排、参训人员及考核标准等细节。此规定仅适用于复杂或高价值设备的培训。</w:t>
            </w:r>
          </w:p>
          <w:p w14:paraId="0863E7D8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7.3.3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受训人员必须通过考核，并在获得相应证书（若有）后方可视为培训合格。该规则仅适用于复杂或高价值设备的培训。</w:t>
            </w:r>
          </w:p>
          <w:p w14:paraId="7BC1EF4E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7.3.4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培训相关费用由卖方承担，除非另有明确列出的培训费用。此条款适用于复杂或高价值设备的培训。对于操作简便、易于自学掌握的设备，无需提供专门培训。</w:t>
            </w:r>
          </w:p>
        </w:tc>
      </w:tr>
      <w:tr w:rsidR="00B765D7" w14:paraId="41A92851" w14:textId="77777777">
        <w:tc>
          <w:tcPr>
            <w:tcW w:w="824" w:type="dxa"/>
            <w:vAlign w:val="center"/>
          </w:tcPr>
          <w:p w14:paraId="456188C8" w14:textId="77777777" w:rsidR="00B765D7" w:rsidRPr="00F61769" w:rsidRDefault="00000000" w:rsidP="00F61769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t>7.4</w:t>
            </w:r>
          </w:p>
        </w:tc>
        <w:tc>
          <w:tcPr>
            <w:tcW w:w="8621" w:type="dxa"/>
          </w:tcPr>
          <w:p w14:paraId="49C9376C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终验收</w:t>
            </w:r>
          </w:p>
          <w:p w14:paraId="4760111C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7.4.1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设备安装与调试须满足规定标准，后方可执行最终验收程序。</w:t>
            </w:r>
          </w:p>
          <w:p w14:paraId="4B7D4812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7.4.2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验收依据包括设备出厂检验标准、技术规格、适用工艺规程、合同条款以及国家或行业标准等文件，相关细节应在双方签署的技术协议中明确约定。</w:t>
            </w:r>
          </w:p>
          <w:p w14:paraId="2042BFC5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7.4.3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双方代表应在现场对设备进行逐台、逐项的实物及功能性能验收，卖方需提交书面文件，证实设备、设施符合验收标准，并展示其功能。</w:t>
            </w:r>
          </w:p>
          <w:p w14:paraId="3BC3AB41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7.4.4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在设备最终验收合格之前，所有因设备调试、优化等产生的费用均由卖方负责。</w:t>
            </w:r>
          </w:p>
          <w:p w14:paraId="5C8DA96A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lastRenderedPageBreak/>
              <w:t xml:space="preserve">7.4.5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验收项目完成后，双方应签字确认，以完成最终验收。最终验收应至少包括预验收合格文件、现场开箱检验合格资料、交接清单、安装记录、调试报告、培训合格证明、产品合格证及操作手册等文档。</w:t>
            </w:r>
          </w:p>
        </w:tc>
      </w:tr>
      <w:tr w:rsidR="00B765D7" w14:paraId="2CE007D6" w14:textId="77777777">
        <w:tc>
          <w:tcPr>
            <w:tcW w:w="824" w:type="dxa"/>
            <w:vAlign w:val="center"/>
          </w:tcPr>
          <w:p w14:paraId="117C78FB" w14:textId="77777777" w:rsidR="00B765D7" w:rsidRPr="00F61769" w:rsidRDefault="00000000" w:rsidP="00F61769">
            <w:pPr>
              <w:pStyle w:val="TableParagraph"/>
              <w:numPr>
                <w:ilvl w:val="255"/>
                <w:numId w:val="0"/>
              </w:numPr>
              <w:shd w:val="clear" w:color="auto" w:fill="CAEACE" w:themeFill="background1"/>
              <w:spacing w:line="360" w:lineRule="auto"/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 w:val="24"/>
                <w:szCs w:val="24"/>
                <w:lang w:val="en-US" w:eastAsia="zh-CN"/>
              </w:rPr>
              <w:lastRenderedPageBreak/>
              <w:t>7.5</w:t>
            </w:r>
          </w:p>
        </w:tc>
        <w:tc>
          <w:tcPr>
            <w:tcW w:w="8621" w:type="dxa"/>
          </w:tcPr>
          <w:p w14:paraId="6F39E895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质量保证</w:t>
            </w:r>
          </w:p>
          <w:p w14:paraId="1B9C8D33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7.5.1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本条款规定，卖方须确保所供应的设备、设施及其配件均为未经使用之全新物品。</w:t>
            </w:r>
          </w:p>
          <w:p w14:paraId="5FE194BF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7.5.2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设备的各组成部分，除非另有说明为消耗性材料，均应享有至少为期一年的质量保修服务。</w:t>
            </w:r>
          </w:p>
          <w:p w14:paraId="6C145E91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7.5.3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卖方必须拥有稳定可靠的供货保障能力，在保修期限内，卖方应迅速提供维修服务和技术支持，具体服务标准如下：在收到服务请求后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4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小时内作出响应，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48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小时内抵达现场，并在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5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个工作日内完成故障排除。</w:t>
            </w:r>
          </w:p>
          <w:p w14:paraId="647CD231" w14:textId="77777777" w:rsidR="00B765D7" w:rsidRPr="00F61769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7.5.4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对于由非人为因素导致的设备故障或损坏，卖方应负责维修，并承担由此产生的全部费用。</w:t>
            </w:r>
          </w:p>
          <w:p w14:paraId="239882D6" w14:textId="77777777" w:rsidR="00B765D7" w:rsidRDefault="00000000" w:rsidP="00F61769">
            <w:pPr>
              <w:pStyle w:val="a9"/>
              <w:numPr>
                <w:ilvl w:val="255"/>
                <w:numId w:val="0"/>
              </w:numPr>
              <w:shd w:val="clear" w:color="auto" w:fill="CAEACE" w:themeFill="background1"/>
              <w:spacing w:before="0" w:beforeAutospacing="0" w:afterAutospacing="0" w:line="360" w:lineRule="auto"/>
              <w:textAlignment w:val="baseline"/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</w:pP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 xml:space="preserve">7.5.5 </w:t>
            </w:r>
            <w:r w:rsidRPr="00F61769">
              <w:rPr>
                <w:rFonts w:ascii="Times New Roman" w:hAnsi="Times New Roman" w:cs="Times New Roman"/>
                <w:spacing w:val="4"/>
                <w:szCs w:val="24"/>
                <w:lang w:val="en-US" w:eastAsia="zh-CN"/>
              </w:rPr>
              <w:t>保修期届满后，卖方应继续提供终身维修服务，并提供必要的备件及技术支持。此外，对于软硬件的升级和扩展需求，卖方应提供相应的价格优惠。</w:t>
            </w:r>
          </w:p>
        </w:tc>
      </w:tr>
    </w:tbl>
    <w:p w14:paraId="29996A25" w14:textId="77777777" w:rsidR="00B765D7" w:rsidRDefault="00B765D7">
      <w:pPr>
        <w:rPr>
          <w:rFonts w:ascii="Times New Roman" w:hAnsi="Times New Roman" w:cs="Times New Roman"/>
        </w:rPr>
      </w:pPr>
    </w:p>
    <w:sectPr w:rsidR="00B765D7">
      <w:footerReference w:type="default" r:id="rId9"/>
      <w:pgSz w:w="12240" w:h="15840"/>
      <w:pgMar w:top="1440" w:right="740" w:bottom="1420" w:left="1720" w:header="0" w:footer="12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EE23B" w14:textId="77777777" w:rsidR="00FB0E3C" w:rsidRDefault="00FB0E3C">
      <w:pPr>
        <w:rPr>
          <w:rFonts w:hint="eastAsia"/>
        </w:rPr>
      </w:pPr>
      <w:r>
        <w:separator/>
      </w:r>
    </w:p>
  </w:endnote>
  <w:endnote w:type="continuationSeparator" w:id="0">
    <w:p w14:paraId="641C6782" w14:textId="77777777" w:rsidR="00FB0E3C" w:rsidRDefault="00FB0E3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6BCBE" w14:textId="77777777" w:rsidR="00B765D7" w:rsidRDefault="00000000">
    <w:pPr>
      <w:pStyle w:val="a4"/>
      <w:spacing w:line="14" w:lineRule="auto"/>
      <w:rPr>
        <w:rFonts w:hint="eastAsia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DBC89C" wp14:editId="35ABBF98">
              <wp:simplePos x="0" y="0"/>
              <wp:positionH relativeFrom="page">
                <wp:posOffset>3819525</wp:posOffset>
              </wp:positionH>
              <wp:positionV relativeFrom="page">
                <wp:posOffset>9087485</wp:posOffset>
              </wp:positionV>
              <wp:extent cx="134620" cy="139700"/>
              <wp:effectExtent l="0" t="0" r="0" b="0"/>
              <wp:wrapNone/>
              <wp:docPr id="61" name="文本框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46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E20988" w14:textId="77777777" w:rsidR="00B765D7" w:rsidRDefault="00000000">
                          <w:pPr>
                            <w:spacing w:line="203" w:lineRule="exact"/>
                            <w:ind w:left="60"/>
                            <w:rPr>
                              <w:rFonts w:ascii="Calibri" w:hint="eastAsia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type w14:anchorId="27DBC89C" id="_x0000_t202" coordsize="21600,21600" o:spt="202" path="m,l,21600r21600,l21600,xe">
              <v:stroke joinstyle="miter"/>
              <v:path gradientshapeok="t" o:connecttype="rect"/>
            </v:shapetype>
            <v:shape id="文本框 61" o:spid="_x0000_s1026" type="#_x0000_t202" style="position:absolute;margin-left:300.75pt;margin-top:715.55pt;width:10.6pt;height:11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" filled="f" stroked="f">
              <v:textbox inset="0,0,0,0">
                <w:txbxContent>
                  <w:p w14:paraId="18E20988" w14:textId="77777777" w:rsidR="00B765D7" w:rsidRDefault="00000000">
                    <w:pPr>
                      <w:spacing w:line="203" w:lineRule="exact"/>
                      <w:ind w:left="60"/>
                      <w:rPr>
                        <w:rFonts w:ascii="Calibri" w:hint="eastAsia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42C157" w14:textId="77777777" w:rsidR="00FB0E3C" w:rsidRDefault="00FB0E3C">
      <w:pPr>
        <w:rPr>
          <w:rFonts w:hint="eastAsia"/>
        </w:rPr>
      </w:pPr>
      <w:r>
        <w:separator/>
      </w:r>
    </w:p>
  </w:footnote>
  <w:footnote w:type="continuationSeparator" w:id="0">
    <w:p w14:paraId="755A445E" w14:textId="77777777" w:rsidR="00FB0E3C" w:rsidRDefault="00FB0E3C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3CD8FCD"/>
    <w:multiLevelType w:val="singleLevel"/>
    <w:tmpl w:val="93CD8FCD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B3E219E5"/>
    <w:multiLevelType w:val="singleLevel"/>
    <w:tmpl w:val="B3E219E5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F0F09E52"/>
    <w:multiLevelType w:val="singleLevel"/>
    <w:tmpl w:val="F0F09E52"/>
    <w:lvl w:ilvl="0">
      <w:start w:val="1"/>
      <w:numFmt w:val="bullet"/>
      <w:lvlText w:val=""/>
      <w:lvlJc w:val="left"/>
      <w:pPr>
        <w:tabs>
          <w:tab w:val="left" w:pos="840"/>
        </w:tabs>
        <w:ind w:left="1260" w:hanging="420"/>
      </w:pPr>
      <w:rPr>
        <w:rFonts w:ascii="Wingdings" w:hAnsi="Wingdings" w:hint="default"/>
      </w:rPr>
    </w:lvl>
  </w:abstractNum>
  <w:abstractNum w:abstractNumId="3" w15:restartNumberingAfterBreak="0">
    <w:nsid w:val="3EDC6C33"/>
    <w:multiLevelType w:val="singleLevel"/>
    <w:tmpl w:val="3EDC6C33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67038930"/>
    <w:multiLevelType w:val="singleLevel"/>
    <w:tmpl w:val="67038930"/>
    <w:lvl w:ilvl="0">
      <w:start w:val="1"/>
      <w:numFmt w:val="decimal"/>
      <w:suff w:val="nothing"/>
      <w:lvlText w:val="（%1）"/>
      <w:lvlJc w:val="left"/>
    </w:lvl>
  </w:abstractNum>
  <w:num w:numId="1" w16cid:durableId="1220361290">
    <w:abstractNumId w:val="0"/>
  </w:num>
  <w:num w:numId="2" w16cid:durableId="1628589314">
    <w:abstractNumId w:val="3"/>
  </w:num>
  <w:num w:numId="3" w16cid:durableId="259340920">
    <w:abstractNumId w:val="4"/>
  </w:num>
  <w:num w:numId="4" w16cid:durableId="1312056982">
    <w:abstractNumId w:val="1"/>
  </w:num>
  <w:num w:numId="5" w16cid:durableId="19446534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zdhNjg5NjMyNmIyYTQ5ODQ4NmU0ODFlZWQxM2Y4N2QifQ=="/>
  </w:docVars>
  <w:rsids>
    <w:rsidRoot w:val="006C2942"/>
    <w:rsid w:val="00004E0D"/>
    <w:rsid w:val="00011378"/>
    <w:rsid w:val="000964EE"/>
    <w:rsid w:val="00133153"/>
    <w:rsid w:val="001400F6"/>
    <w:rsid w:val="00163D7F"/>
    <w:rsid w:val="001A1941"/>
    <w:rsid w:val="001A3D2D"/>
    <w:rsid w:val="001B24E9"/>
    <w:rsid w:val="001B6B1D"/>
    <w:rsid w:val="001E5EFB"/>
    <w:rsid w:val="002749AA"/>
    <w:rsid w:val="00444E90"/>
    <w:rsid w:val="004F7D0F"/>
    <w:rsid w:val="005A2EC2"/>
    <w:rsid w:val="005D4603"/>
    <w:rsid w:val="005F6301"/>
    <w:rsid w:val="006C2942"/>
    <w:rsid w:val="007B3DA3"/>
    <w:rsid w:val="00832919"/>
    <w:rsid w:val="0085145D"/>
    <w:rsid w:val="00862842"/>
    <w:rsid w:val="009144A8"/>
    <w:rsid w:val="009F0E1A"/>
    <w:rsid w:val="00AC0E3B"/>
    <w:rsid w:val="00B10476"/>
    <w:rsid w:val="00B765D7"/>
    <w:rsid w:val="00E0391B"/>
    <w:rsid w:val="00F43C49"/>
    <w:rsid w:val="00F61769"/>
    <w:rsid w:val="00F95686"/>
    <w:rsid w:val="00FB0E3C"/>
    <w:rsid w:val="00FB73A5"/>
    <w:rsid w:val="00FC31A1"/>
    <w:rsid w:val="00FD1EF2"/>
    <w:rsid w:val="012860FF"/>
    <w:rsid w:val="016E2B68"/>
    <w:rsid w:val="01D779B2"/>
    <w:rsid w:val="01F23506"/>
    <w:rsid w:val="0263412A"/>
    <w:rsid w:val="02707362"/>
    <w:rsid w:val="0301396B"/>
    <w:rsid w:val="039D32E8"/>
    <w:rsid w:val="03B32AD2"/>
    <w:rsid w:val="042949E3"/>
    <w:rsid w:val="0451447E"/>
    <w:rsid w:val="048653C5"/>
    <w:rsid w:val="05117EEB"/>
    <w:rsid w:val="05A47B2D"/>
    <w:rsid w:val="05E12740"/>
    <w:rsid w:val="06093C5D"/>
    <w:rsid w:val="07175D1E"/>
    <w:rsid w:val="07244414"/>
    <w:rsid w:val="07820202"/>
    <w:rsid w:val="088B4361"/>
    <w:rsid w:val="08A52B39"/>
    <w:rsid w:val="08C05AA0"/>
    <w:rsid w:val="08CB5EC6"/>
    <w:rsid w:val="0931587B"/>
    <w:rsid w:val="094822F4"/>
    <w:rsid w:val="09793E68"/>
    <w:rsid w:val="09AF4121"/>
    <w:rsid w:val="09F9539C"/>
    <w:rsid w:val="0A075A48"/>
    <w:rsid w:val="0A7E5025"/>
    <w:rsid w:val="0A922D36"/>
    <w:rsid w:val="0AE44A7F"/>
    <w:rsid w:val="0BC67500"/>
    <w:rsid w:val="0BFF0C6A"/>
    <w:rsid w:val="0C774816"/>
    <w:rsid w:val="0CC71A83"/>
    <w:rsid w:val="0CD87A69"/>
    <w:rsid w:val="0DCC18B3"/>
    <w:rsid w:val="0E106C61"/>
    <w:rsid w:val="0E3E49BB"/>
    <w:rsid w:val="0E476D2C"/>
    <w:rsid w:val="0EE25AD7"/>
    <w:rsid w:val="0F3F2223"/>
    <w:rsid w:val="0F4347BC"/>
    <w:rsid w:val="0F995677"/>
    <w:rsid w:val="103F5AD3"/>
    <w:rsid w:val="11697B20"/>
    <w:rsid w:val="11E10668"/>
    <w:rsid w:val="12042985"/>
    <w:rsid w:val="124F2FA0"/>
    <w:rsid w:val="12626F04"/>
    <w:rsid w:val="12882D72"/>
    <w:rsid w:val="128E4764"/>
    <w:rsid w:val="13373653"/>
    <w:rsid w:val="13E1581F"/>
    <w:rsid w:val="140C22AB"/>
    <w:rsid w:val="14146639"/>
    <w:rsid w:val="14253892"/>
    <w:rsid w:val="147225D9"/>
    <w:rsid w:val="14EF2789"/>
    <w:rsid w:val="152811E7"/>
    <w:rsid w:val="15FD6214"/>
    <w:rsid w:val="17B17AB1"/>
    <w:rsid w:val="17F72EFF"/>
    <w:rsid w:val="18044237"/>
    <w:rsid w:val="19063631"/>
    <w:rsid w:val="197778B7"/>
    <w:rsid w:val="19D2285E"/>
    <w:rsid w:val="1A0F03C6"/>
    <w:rsid w:val="1A681208"/>
    <w:rsid w:val="1B0D798E"/>
    <w:rsid w:val="1B2267B7"/>
    <w:rsid w:val="1B490D91"/>
    <w:rsid w:val="1BCD6688"/>
    <w:rsid w:val="1C0579ED"/>
    <w:rsid w:val="1C695407"/>
    <w:rsid w:val="1C966826"/>
    <w:rsid w:val="1CDF0421"/>
    <w:rsid w:val="1D126A49"/>
    <w:rsid w:val="1D2018E1"/>
    <w:rsid w:val="1D2E60C1"/>
    <w:rsid w:val="1D435933"/>
    <w:rsid w:val="1DCB1496"/>
    <w:rsid w:val="1E060AE8"/>
    <w:rsid w:val="1E34479D"/>
    <w:rsid w:val="1E4159C9"/>
    <w:rsid w:val="1E460992"/>
    <w:rsid w:val="1E55777F"/>
    <w:rsid w:val="1E8E6C6A"/>
    <w:rsid w:val="1EA91809"/>
    <w:rsid w:val="1EC65D3D"/>
    <w:rsid w:val="1F051B18"/>
    <w:rsid w:val="1FA27305"/>
    <w:rsid w:val="1FA439AA"/>
    <w:rsid w:val="1FE94B5A"/>
    <w:rsid w:val="20A774A8"/>
    <w:rsid w:val="216455A8"/>
    <w:rsid w:val="22075C59"/>
    <w:rsid w:val="223306F6"/>
    <w:rsid w:val="224138CC"/>
    <w:rsid w:val="228E42E2"/>
    <w:rsid w:val="22951EAF"/>
    <w:rsid w:val="23DB3D90"/>
    <w:rsid w:val="24136B83"/>
    <w:rsid w:val="24A30154"/>
    <w:rsid w:val="24D64800"/>
    <w:rsid w:val="250242B2"/>
    <w:rsid w:val="25705803"/>
    <w:rsid w:val="25AC31DE"/>
    <w:rsid w:val="25D95944"/>
    <w:rsid w:val="25F211C5"/>
    <w:rsid w:val="263E4E30"/>
    <w:rsid w:val="265359DC"/>
    <w:rsid w:val="26B26BA7"/>
    <w:rsid w:val="272C6B15"/>
    <w:rsid w:val="2735148E"/>
    <w:rsid w:val="278F197C"/>
    <w:rsid w:val="27C32548"/>
    <w:rsid w:val="28472AD0"/>
    <w:rsid w:val="2898301B"/>
    <w:rsid w:val="28C623C8"/>
    <w:rsid w:val="296E1A70"/>
    <w:rsid w:val="29750555"/>
    <w:rsid w:val="29AC58EE"/>
    <w:rsid w:val="29E64FC0"/>
    <w:rsid w:val="2A477B66"/>
    <w:rsid w:val="2A781B3D"/>
    <w:rsid w:val="2A7A5C2D"/>
    <w:rsid w:val="2AB81998"/>
    <w:rsid w:val="2ADB575D"/>
    <w:rsid w:val="2B0B4AD7"/>
    <w:rsid w:val="2B5F1FB7"/>
    <w:rsid w:val="2BE54E5D"/>
    <w:rsid w:val="2CD511B9"/>
    <w:rsid w:val="2DBF4147"/>
    <w:rsid w:val="2DD7442F"/>
    <w:rsid w:val="2DE1211E"/>
    <w:rsid w:val="2E247D56"/>
    <w:rsid w:val="2E4C6C84"/>
    <w:rsid w:val="2EF97A69"/>
    <w:rsid w:val="2F1A7FDA"/>
    <w:rsid w:val="2F920DA6"/>
    <w:rsid w:val="2FA72102"/>
    <w:rsid w:val="2FAD6DD3"/>
    <w:rsid w:val="2FB87118"/>
    <w:rsid w:val="30920A7F"/>
    <w:rsid w:val="309645C5"/>
    <w:rsid w:val="30984653"/>
    <w:rsid w:val="3098505F"/>
    <w:rsid w:val="30EF1F82"/>
    <w:rsid w:val="315774FF"/>
    <w:rsid w:val="31FE2DF5"/>
    <w:rsid w:val="326849E7"/>
    <w:rsid w:val="32CF1923"/>
    <w:rsid w:val="332A612E"/>
    <w:rsid w:val="339C412A"/>
    <w:rsid w:val="33A53D1B"/>
    <w:rsid w:val="33BA4C48"/>
    <w:rsid w:val="33EE55CB"/>
    <w:rsid w:val="341B35D7"/>
    <w:rsid w:val="34983880"/>
    <w:rsid w:val="34C4269D"/>
    <w:rsid w:val="34C77792"/>
    <w:rsid w:val="34DB230B"/>
    <w:rsid w:val="355735F6"/>
    <w:rsid w:val="35E27031"/>
    <w:rsid w:val="361139B2"/>
    <w:rsid w:val="36851A9F"/>
    <w:rsid w:val="372846AD"/>
    <w:rsid w:val="37C37C35"/>
    <w:rsid w:val="3808782B"/>
    <w:rsid w:val="382D42DF"/>
    <w:rsid w:val="38373DAE"/>
    <w:rsid w:val="38395716"/>
    <w:rsid w:val="38B12869"/>
    <w:rsid w:val="38C07E8F"/>
    <w:rsid w:val="39D87059"/>
    <w:rsid w:val="39D91F57"/>
    <w:rsid w:val="3A614714"/>
    <w:rsid w:val="3A8D0F72"/>
    <w:rsid w:val="3B1703A8"/>
    <w:rsid w:val="3BC8543C"/>
    <w:rsid w:val="3BCB2856"/>
    <w:rsid w:val="3BEE6766"/>
    <w:rsid w:val="3BFA13DD"/>
    <w:rsid w:val="3D28607A"/>
    <w:rsid w:val="3D865DC4"/>
    <w:rsid w:val="3DA46DF1"/>
    <w:rsid w:val="3DD946B7"/>
    <w:rsid w:val="3DDF1F52"/>
    <w:rsid w:val="3E597CFE"/>
    <w:rsid w:val="3E921340"/>
    <w:rsid w:val="3EDD20ED"/>
    <w:rsid w:val="3F134E72"/>
    <w:rsid w:val="3F2416B0"/>
    <w:rsid w:val="3F603FF2"/>
    <w:rsid w:val="3FCD65E6"/>
    <w:rsid w:val="40185BA1"/>
    <w:rsid w:val="403368B4"/>
    <w:rsid w:val="40A22C28"/>
    <w:rsid w:val="40AB4BC0"/>
    <w:rsid w:val="41970A1B"/>
    <w:rsid w:val="419B0287"/>
    <w:rsid w:val="41A970CC"/>
    <w:rsid w:val="41BB295C"/>
    <w:rsid w:val="41E81433"/>
    <w:rsid w:val="42E46F22"/>
    <w:rsid w:val="43595424"/>
    <w:rsid w:val="43A049C2"/>
    <w:rsid w:val="43E85FF5"/>
    <w:rsid w:val="44305883"/>
    <w:rsid w:val="4510224D"/>
    <w:rsid w:val="453B43C5"/>
    <w:rsid w:val="454125FE"/>
    <w:rsid w:val="4563415B"/>
    <w:rsid w:val="457509DB"/>
    <w:rsid w:val="45AD34DF"/>
    <w:rsid w:val="45E306D3"/>
    <w:rsid w:val="463946F5"/>
    <w:rsid w:val="468671F8"/>
    <w:rsid w:val="46D24C58"/>
    <w:rsid w:val="47080EBE"/>
    <w:rsid w:val="47541BDC"/>
    <w:rsid w:val="48430DA0"/>
    <w:rsid w:val="48B3323E"/>
    <w:rsid w:val="495D52A4"/>
    <w:rsid w:val="496328C4"/>
    <w:rsid w:val="499E6A69"/>
    <w:rsid w:val="49A02311"/>
    <w:rsid w:val="49B90FC8"/>
    <w:rsid w:val="49C516E5"/>
    <w:rsid w:val="4A536BDB"/>
    <w:rsid w:val="4B0C111A"/>
    <w:rsid w:val="4B4D0B9A"/>
    <w:rsid w:val="4B501402"/>
    <w:rsid w:val="4B9B7A78"/>
    <w:rsid w:val="4BBA0C86"/>
    <w:rsid w:val="4C705B7B"/>
    <w:rsid w:val="4CA25799"/>
    <w:rsid w:val="4CB40D67"/>
    <w:rsid w:val="4D72564E"/>
    <w:rsid w:val="4D88228C"/>
    <w:rsid w:val="4DC25072"/>
    <w:rsid w:val="4E3C698E"/>
    <w:rsid w:val="4E98351C"/>
    <w:rsid w:val="4F171DF0"/>
    <w:rsid w:val="4F5819BC"/>
    <w:rsid w:val="4F5D32A4"/>
    <w:rsid w:val="4F983C42"/>
    <w:rsid w:val="4FC2023E"/>
    <w:rsid w:val="4FDB27FC"/>
    <w:rsid w:val="4FEF3B99"/>
    <w:rsid w:val="505333D2"/>
    <w:rsid w:val="50571655"/>
    <w:rsid w:val="50615016"/>
    <w:rsid w:val="5099655E"/>
    <w:rsid w:val="5169671C"/>
    <w:rsid w:val="520D3F94"/>
    <w:rsid w:val="525B0390"/>
    <w:rsid w:val="52C5026C"/>
    <w:rsid w:val="52C77E7A"/>
    <w:rsid w:val="52D70679"/>
    <w:rsid w:val="530E1476"/>
    <w:rsid w:val="53465CBF"/>
    <w:rsid w:val="53874982"/>
    <w:rsid w:val="53C75190"/>
    <w:rsid w:val="53DC50DF"/>
    <w:rsid w:val="54104D89"/>
    <w:rsid w:val="545C2904"/>
    <w:rsid w:val="546B5875"/>
    <w:rsid w:val="546F4551"/>
    <w:rsid w:val="54C1164B"/>
    <w:rsid w:val="55262802"/>
    <w:rsid w:val="55302719"/>
    <w:rsid w:val="553D3147"/>
    <w:rsid w:val="555902BB"/>
    <w:rsid w:val="56456D8A"/>
    <w:rsid w:val="57466155"/>
    <w:rsid w:val="580A43FE"/>
    <w:rsid w:val="58E21B13"/>
    <w:rsid w:val="58E21D5A"/>
    <w:rsid w:val="59FD5515"/>
    <w:rsid w:val="5A140FA1"/>
    <w:rsid w:val="5A637B90"/>
    <w:rsid w:val="5AE52CEE"/>
    <w:rsid w:val="5B1535B7"/>
    <w:rsid w:val="5B7065B7"/>
    <w:rsid w:val="5BB2049C"/>
    <w:rsid w:val="5BE64C08"/>
    <w:rsid w:val="5BFF4434"/>
    <w:rsid w:val="5DEE3E5B"/>
    <w:rsid w:val="5E091D00"/>
    <w:rsid w:val="5E3723DB"/>
    <w:rsid w:val="5E622163"/>
    <w:rsid w:val="5E997B62"/>
    <w:rsid w:val="5F466C95"/>
    <w:rsid w:val="5F5C0E82"/>
    <w:rsid w:val="5FDF7B19"/>
    <w:rsid w:val="5FE23AE4"/>
    <w:rsid w:val="60121E89"/>
    <w:rsid w:val="606C5D3C"/>
    <w:rsid w:val="6095731E"/>
    <w:rsid w:val="60C9221B"/>
    <w:rsid w:val="60CD5A0C"/>
    <w:rsid w:val="61155EB8"/>
    <w:rsid w:val="61996AEF"/>
    <w:rsid w:val="61D45648"/>
    <w:rsid w:val="62560FA6"/>
    <w:rsid w:val="626F1110"/>
    <w:rsid w:val="634405AB"/>
    <w:rsid w:val="640F2217"/>
    <w:rsid w:val="65C907FC"/>
    <w:rsid w:val="65EB59C7"/>
    <w:rsid w:val="6607464E"/>
    <w:rsid w:val="664F7993"/>
    <w:rsid w:val="666B4A1D"/>
    <w:rsid w:val="66717D38"/>
    <w:rsid w:val="66BA6B1B"/>
    <w:rsid w:val="6704453E"/>
    <w:rsid w:val="672F575D"/>
    <w:rsid w:val="67334BBF"/>
    <w:rsid w:val="679A7B08"/>
    <w:rsid w:val="68966BF5"/>
    <w:rsid w:val="68B30FA2"/>
    <w:rsid w:val="68C82A68"/>
    <w:rsid w:val="68D95071"/>
    <w:rsid w:val="68EA1B50"/>
    <w:rsid w:val="68FC5E8E"/>
    <w:rsid w:val="69297796"/>
    <w:rsid w:val="69656605"/>
    <w:rsid w:val="69F001BF"/>
    <w:rsid w:val="6A097646"/>
    <w:rsid w:val="6B3C460E"/>
    <w:rsid w:val="6B3C59DE"/>
    <w:rsid w:val="6B7058F2"/>
    <w:rsid w:val="6BBD4A24"/>
    <w:rsid w:val="6C6A1B24"/>
    <w:rsid w:val="6C8C25A7"/>
    <w:rsid w:val="6D6B6E89"/>
    <w:rsid w:val="6D814C24"/>
    <w:rsid w:val="6DC70A07"/>
    <w:rsid w:val="6DFB2481"/>
    <w:rsid w:val="6EAE6189"/>
    <w:rsid w:val="6F3232B4"/>
    <w:rsid w:val="6F3275E5"/>
    <w:rsid w:val="6FB53ABB"/>
    <w:rsid w:val="6FDF342C"/>
    <w:rsid w:val="70EE1FB8"/>
    <w:rsid w:val="719D3F2B"/>
    <w:rsid w:val="71C234AE"/>
    <w:rsid w:val="72747576"/>
    <w:rsid w:val="727F395E"/>
    <w:rsid w:val="72B70441"/>
    <w:rsid w:val="73741427"/>
    <w:rsid w:val="738A0A11"/>
    <w:rsid w:val="73CD42D1"/>
    <w:rsid w:val="73F5645C"/>
    <w:rsid w:val="74056336"/>
    <w:rsid w:val="743D5286"/>
    <w:rsid w:val="74484C79"/>
    <w:rsid w:val="74644B73"/>
    <w:rsid w:val="74EB6FEC"/>
    <w:rsid w:val="74F160B9"/>
    <w:rsid w:val="75A07046"/>
    <w:rsid w:val="75AE6217"/>
    <w:rsid w:val="75C94940"/>
    <w:rsid w:val="76070528"/>
    <w:rsid w:val="76404C02"/>
    <w:rsid w:val="764861AD"/>
    <w:rsid w:val="771247BD"/>
    <w:rsid w:val="77912A10"/>
    <w:rsid w:val="77922668"/>
    <w:rsid w:val="779943F6"/>
    <w:rsid w:val="77B41AF2"/>
    <w:rsid w:val="77D72A16"/>
    <w:rsid w:val="78014865"/>
    <w:rsid w:val="78521139"/>
    <w:rsid w:val="787263F0"/>
    <w:rsid w:val="789C6AF6"/>
    <w:rsid w:val="78D669C4"/>
    <w:rsid w:val="790E7239"/>
    <w:rsid w:val="794C2B0A"/>
    <w:rsid w:val="794D32A7"/>
    <w:rsid w:val="79664855"/>
    <w:rsid w:val="797B41A3"/>
    <w:rsid w:val="79826ACC"/>
    <w:rsid w:val="7A720713"/>
    <w:rsid w:val="7A7B08FF"/>
    <w:rsid w:val="7BBF6C21"/>
    <w:rsid w:val="7C377678"/>
    <w:rsid w:val="7CFE5461"/>
    <w:rsid w:val="7D02613C"/>
    <w:rsid w:val="7D7040E9"/>
    <w:rsid w:val="7E147161"/>
    <w:rsid w:val="7E292420"/>
    <w:rsid w:val="7E4B683A"/>
    <w:rsid w:val="7E88183C"/>
    <w:rsid w:val="7F196AAE"/>
    <w:rsid w:val="7F2D54DA"/>
    <w:rsid w:val="7FB74D40"/>
    <w:rsid w:val="7FBC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B911E2"/>
  <w15:docId w15:val="{908D5932-E3C1-4A93-8CDD-62F0FD13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TW" w:eastAsia="zh-TW" w:bidi="zh-TW"/>
    </w:rPr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rFonts w:cs="Times New Roman" w:hint="eastAsia"/>
      <w:b/>
      <w:bCs/>
      <w:kern w:val="44"/>
      <w:sz w:val="48"/>
      <w:szCs w:val="48"/>
      <w:lang w:val="en-US" w:eastAsia="zh-CN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autoRedefine/>
    <w:qFormat/>
  </w:style>
  <w:style w:type="paragraph" w:styleId="a4">
    <w:name w:val="Body Text"/>
    <w:basedOn w:val="a"/>
    <w:autoRedefine/>
    <w:uiPriority w:val="1"/>
    <w:qFormat/>
    <w:rPr>
      <w:rFonts w:ascii="黑体" w:eastAsia="黑体" w:hAnsi="黑体" w:cs="黑体"/>
      <w:sz w:val="32"/>
      <w:szCs w:val="32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autoRedefine/>
    <w:qFormat/>
    <w:pPr>
      <w:widowControl/>
      <w:spacing w:before="100" w:beforeAutospacing="1" w:after="100" w:afterAutospacing="1"/>
    </w:pPr>
    <w:rPr>
      <w:sz w:val="24"/>
    </w:rPr>
  </w:style>
  <w:style w:type="table" w:styleId="aa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autoRedefine/>
    <w:qFormat/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autoRedefine/>
    <w:uiPriority w:val="1"/>
    <w:qFormat/>
  </w:style>
  <w:style w:type="paragraph" w:customStyle="1" w:styleId="TableParagraph">
    <w:name w:val="Table Paragraph"/>
    <w:basedOn w:val="a"/>
    <w:autoRedefine/>
    <w:uiPriority w:val="1"/>
    <w:qFormat/>
  </w:style>
  <w:style w:type="paragraph" w:customStyle="1" w:styleId="10">
    <w:name w:val="日期1"/>
    <w:basedOn w:val="a"/>
    <w:next w:val="a"/>
    <w:autoRedefine/>
    <w:qFormat/>
    <w:pPr>
      <w:adjustRightInd w:val="0"/>
      <w:textAlignment w:val="baseline"/>
    </w:pPr>
    <w:rPr>
      <w:sz w:val="28"/>
    </w:rPr>
  </w:style>
  <w:style w:type="character" w:customStyle="1" w:styleId="font11">
    <w:name w:val="font11"/>
    <w:basedOn w:val="a0"/>
    <w:autoRedefine/>
    <w:qFormat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21">
    <w:name w:val="font21"/>
    <w:basedOn w:val="a0"/>
    <w:autoRedefine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a8">
    <w:name w:val="页眉 字符"/>
    <w:basedOn w:val="a0"/>
    <w:link w:val="a7"/>
    <w:autoRedefine/>
    <w:qFormat/>
    <w:rPr>
      <w:rFonts w:ascii="宋体" w:hAnsi="宋体" w:cs="宋体"/>
      <w:sz w:val="18"/>
      <w:szCs w:val="18"/>
      <w:lang w:val="zh-TW" w:eastAsia="zh-TW" w:bidi="zh-TW"/>
    </w:rPr>
  </w:style>
  <w:style w:type="character" w:customStyle="1" w:styleId="a6">
    <w:name w:val="页脚 字符"/>
    <w:basedOn w:val="a0"/>
    <w:link w:val="a5"/>
    <w:autoRedefine/>
    <w:qFormat/>
    <w:rPr>
      <w:rFonts w:ascii="宋体" w:hAnsi="宋体" w:cs="宋体"/>
      <w:sz w:val="18"/>
      <w:szCs w:val="18"/>
      <w:lang w:val="zh-TW" w:eastAsia="zh-TW" w:bidi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2E9F84-9F07-4DE1-9318-8B79C9AEE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</dc:creator>
  <cp:lastModifiedBy>伟 王</cp:lastModifiedBy>
  <cp:revision>2</cp:revision>
  <dcterms:created xsi:type="dcterms:W3CDTF">2024-07-08T05:56:00Z</dcterms:created>
  <dcterms:modified xsi:type="dcterms:W3CDTF">2024-11-06T00:58:00Z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2024-07-04T00:00:00Z</vt:filetime>
  </property>
  <property fmtid="{D5CDD505-2E9C-101B-9397-08002B2CF9AE}" pid="3" name="Creator">
    <vt:lpwstr>Microsoft® Word 2021</vt:lpwstr>
  </property>
  <property fmtid="{D5CDD505-2E9C-101B-9397-08002B2CF9AE}" pid="4" name="LastSaved">
    <vt:filetime>2024-07-08T00:00:00Z</vt:filetime>
  </property>
  <property fmtid="{D5CDD505-2E9C-101B-9397-08002B2CF9AE}" pid="5" name="KSOProductBuildVer">
    <vt:lpwstr>2052-12.1.0.18608</vt:lpwstr>
  </property>
  <property fmtid="{D5CDD505-2E9C-101B-9397-08002B2CF9AE}" pid="6" name="ICV">
    <vt:lpwstr>BC868243D4D043098FDFA7F5A6CD4595_13</vt:lpwstr>
  </property>
</Properties>
</file>