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28B53">
      <w:pPr>
        <w:pStyle w:val="2"/>
        <w:spacing w:before="42"/>
        <w:ind w:left="3179" w:right="336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磁力搅拌器</w:t>
      </w:r>
    </w:p>
    <w:p w14:paraId="1F355D0B">
      <w:pPr>
        <w:pStyle w:val="2"/>
        <w:spacing w:before="42"/>
        <w:ind w:left="3179" w:right="3360"/>
        <w:jc w:val="center"/>
      </w:pP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2EE2FA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9859FF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3091CAB4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磁力搅拌器</w:t>
            </w:r>
          </w:p>
        </w:tc>
      </w:tr>
      <w:tr w14:paraId="0100F5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53BB8DF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216B9391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壹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台</w:t>
            </w:r>
          </w:p>
        </w:tc>
      </w:tr>
      <w:tr w14:paraId="689E26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4E345A4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01BBDC67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035503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7D1CA4A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5F55CECB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在化学分析过程搅拌溶液样品。</w:t>
            </w:r>
          </w:p>
        </w:tc>
      </w:tr>
      <w:tr w14:paraId="770614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73C3196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23D91752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3FCDCF18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6CBE8D33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67DACF85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35DCC54B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070EA5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D5275EE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4A8425DC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50EFCD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7CD6C7F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4B56AF6E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70C53B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905A026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1082DEF7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48367D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D79EF43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1E399C23">
            <w:pPr>
              <w:numPr>
                <w:ilvl w:val="0"/>
                <w:numId w:val="2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磁力搅拌器，1台</w:t>
            </w:r>
          </w:p>
          <w:p w14:paraId="7070CA09">
            <w:pPr>
              <w:numPr>
                <w:ilvl w:val="0"/>
                <w:numId w:val="2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各类尺寸转子1袋</w:t>
            </w:r>
          </w:p>
        </w:tc>
      </w:tr>
      <w:tr w14:paraId="456D55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D179F0D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525A2F97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324792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42A70B7D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54B9BD37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搅拌位：4个</w:t>
            </w:r>
          </w:p>
          <w:p w14:paraId="36466DE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搅拌量：500ml（单搅拌位）</w:t>
            </w:r>
          </w:p>
          <w:p w14:paraId="52A2D141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转速：50~1000rpm</w:t>
            </w:r>
          </w:p>
          <w:p w14:paraId="340DAAB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控制方式：旋钮无极调速</w:t>
            </w:r>
          </w:p>
          <w:p w14:paraId="47E192F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显示方式：LED数显</w:t>
            </w:r>
          </w:p>
          <w:p w14:paraId="3AD6507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定时搅拌：0~999min</w:t>
            </w:r>
          </w:p>
          <w:p w14:paraId="22384A34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转子尺寸：标配20㎜~50㎜，若干</w:t>
            </w:r>
          </w:p>
          <w:p w14:paraId="50F5DE8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加热要求：0~120℃</w:t>
            </w:r>
          </w:p>
          <w:p w14:paraId="2951904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工作盘尺寸：110㎜（单搅拌位）</w:t>
            </w:r>
          </w:p>
          <w:p w14:paraId="204AF8C2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工作盘材质：陶瓷盘面</w:t>
            </w:r>
          </w:p>
          <w:p w14:paraId="2B0F2F4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电机类型：无刷电机</w:t>
            </w:r>
          </w:p>
          <w:p w14:paraId="5529E3F7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附件：各类尺寸转子1袋</w:t>
            </w:r>
          </w:p>
        </w:tc>
      </w:tr>
      <w:tr w14:paraId="623A28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43B3C8BD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057B317A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4132B8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5AFE162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2218725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0784596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45BAF0B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6E7F8FB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373899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E45D5D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26FA1BF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1EB727B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293EC9B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3972B2D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1A3586D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68AB7AE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1D0DDD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C83E22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449F9ED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6E89C0B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295ACD1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202C04D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4202C6B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2ECB66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DA0467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08729E5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2000627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5497DC3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0ABB9A4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7D96B1E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7BCED47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23DF6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A016E3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7AD98E7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1339536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5575FB2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5CB2341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0853475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055313F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6E724CBB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A5686D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AC041B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7AC041B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61CBD141"/>
    <w:multiLevelType w:val="singleLevel"/>
    <w:tmpl w:val="61CBD141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62FA6613"/>
    <w:multiLevelType w:val="singleLevel"/>
    <w:tmpl w:val="62FA661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54198C"/>
    <w:rsid w:val="039D32E8"/>
    <w:rsid w:val="042949E3"/>
    <w:rsid w:val="04F77BB6"/>
    <w:rsid w:val="05313213"/>
    <w:rsid w:val="05A47B2D"/>
    <w:rsid w:val="05E12740"/>
    <w:rsid w:val="065C61C6"/>
    <w:rsid w:val="06E35662"/>
    <w:rsid w:val="07175D1E"/>
    <w:rsid w:val="07820202"/>
    <w:rsid w:val="08B518F6"/>
    <w:rsid w:val="08C05AA0"/>
    <w:rsid w:val="08CB5EC6"/>
    <w:rsid w:val="094822F4"/>
    <w:rsid w:val="09793E68"/>
    <w:rsid w:val="09F9539C"/>
    <w:rsid w:val="0A075A48"/>
    <w:rsid w:val="0B744BD6"/>
    <w:rsid w:val="0BFF0C6A"/>
    <w:rsid w:val="0C774816"/>
    <w:rsid w:val="0C9E52A4"/>
    <w:rsid w:val="0CEA28EA"/>
    <w:rsid w:val="0DCC18B3"/>
    <w:rsid w:val="0E3E49BB"/>
    <w:rsid w:val="0E476D2C"/>
    <w:rsid w:val="0EE25AD7"/>
    <w:rsid w:val="0EEB0BDC"/>
    <w:rsid w:val="11351107"/>
    <w:rsid w:val="11674CEE"/>
    <w:rsid w:val="11697B20"/>
    <w:rsid w:val="12042985"/>
    <w:rsid w:val="128E4764"/>
    <w:rsid w:val="12E707DD"/>
    <w:rsid w:val="13373653"/>
    <w:rsid w:val="13676F36"/>
    <w:rsid w:val="14146639"/>
    <w:rsid w:val="147225D9"/>
    <w:rsid w:val="14DF59DC"/>
    <w:rsid w:val="14E2467B"/>
    <w:rsid w:val="152811E7"/>
    <w:rsid w:val="15FD6214"/>
    <w:rsid w:val="16EF3BBA"/>
    <w:rsid w:val="17B17AB1"/>
    <w:rsid w:val="18044237"/>
    <w:rsid w:val="19D2285E"/>
    <w:rsid w:val="1A467AC2"/>
    <w:rsid w:val="1A681208"/>
    <w:rsid w:val="1AE027CB"/>
    <w:rsid w:val="1B0D798E"/>
    <w:rsid w:val="1B2267B7"/>
    <w:rsid w:val="1C0579ED"/>
    <w:rsid w:val="1C966826"/>
    <w:rsid w:val="1CDF0421"/>
    <w:rsid w:val="1D2018E1"/>
    <w:rsid w:val="1D2E60C1"/>
    <w:rsid w:val="1D435933"/>
    <w:rsid w:val="1D871E3E"/>
    <w:rsid w:val="1DCB1496"/>
    <w:rsid w:val="1E460992"/>
    <w:rsid w:val="1E55777F"/>
    <w:rsid w:val="1F051B18"/>
    <w:rsid w:val="1F3835CE"/>
    <w:rsid w:val="1FA439AA"/>
    <w:rsid w:val="20A007AD"/>
    <w:rsid w:val="216455A8"/>
    <w:rsid w:val="22075C59"/>
    <w:rsid w:val="223306F6"/>
    <w:rsid w:val="224138CC"/>
    <w:rsid w:val="22951EAF"/>
    <w:rsid w:val="236D292E"/>
    <w:rsid w:val="23DB3D90"/>
    <w:rsid w:val="25827BE3"/>
    <w:rsid w:val="25913EF0"/>
    <w:rsid w:val="25AC31DE"/>
    <w:rsid w:val="25D95944"/>
    <w:rsid w:val="263E4E30"/>
    <w:rsid w:val="265359DC"/>
    <w:rsid w:val="26D0618F"/>
    <w:rsid w:val="272C6B15"/>
    <w:rsid w:val="2735148E"/>
    <w:rsid w:val="277F0131"/>
    <w:rsid w:val="278F197C"/>
    <w:rsid w:val="27A1298C"/>
    <w:rsid w:val="28C623C8"/>
    <w:rsid w:val="296E1A70"/>
    <w:rsid w:val="29750555"/>
    <w:rsid w:val="29AC58EE"/>
    <w:rsid w:val="29CB64BF"/>
    <w:rsid w:val="29E64FC0"/>
    <w:rsid w:val="2A781B3D"/>
    <w:rsid w:val="2AB81998"/>
    <w:rsid w:val="2ADB575D"/>
    <w:rsid w:val="2B0B4AD7"/>
    <w:rsid w:val="2B154C93"/>
    <w:rsid w:val="2B5F1FB7"/>
    <w:rsid w:val="2BE54E5D"/>
    <w:rsid w:val="2C13387E"/>
    <w:rsid w:val="2CD511B9"/>
    <w:rsid w:val="2CE13156"/>
    <w:rsid w:val="2D430559"/>
    <w:rsid w:val="2D5C5ABE"/>
    <w:rsid w:val="2DD7442F"/>
    <w:rsid w:val="2DE1211E"/>
    <w:rsid w:val="2E247D56"/>
    <w:rsid w:val="2E39679C"/>
    <w:rsid w:val="2E494294"/>
    <w:rsid w:val="2F002B74"/>
    <w:rsid w:val="2F920DA6"/>
    <w:rsid w:val="2FA72102"/>
    <w:rsid w:val="30920A7F"/>
    <w:rsid w:val="309645C5"/>
    <w:rsid w:val="309E518D"/>
    <w:rsid w:val="31D653CB"/>
    <w:rsid w:val="32CF1923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7C37C35"/>
    <w:rsid w:val="3808782B"/>
    <w:rsid w:val="38395716"/>
    <w:rsid w:val="38B12869"/>
    <w:rsid w:val="390954C6"/>
    <w:rsid w:val="39D87059"/>
    <w:rsid w:val="3A8D0F72"/>
    <w:rsid w:val="3BEE6766"/>
    <w:rsid w:val="3DA751D3"/>
    <w:rsid w:val="3DD946B7"/>
    <w:rsid w:val="3DDF1F52"/>
    <w:rsid w:val="3ECE29AE"/>
    <w:rsid w:val="3F134E7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970A8B"/>
    <w:rsid w:val="45AD34DF"/>
    <w:rsid w:val="45BD05A8"/>
    <w:rsid w:val="465B50B9"/>
    <w:rsid w:val="468671F8"/>
    <w:rsid w:val="46D24C58"/>
    <w:rsid w:val="47080EBE"/>
    <w:rsid w:val="47541BDC"/>
    <w:rsid w:val="47D32E64"/>
    <w:rsid w:val="49531F87"/>
    <w:rsid w:val="495D52A4"/>
    <w:rsid w:val="496B4B62"/>
    <w:rsid w:val="49A02311"/>
    <w:rsid w:val="49B90FC8"/>
    <w:rsid w:val="49C516E5"/>
    <w:rsid w:val="4A536BDB"/>
    <w:rsid w:val="4B0C111A"/>
    <w:rsid w:val="4B4D0B9A"/>
    <w:rsid w:val="4B625344"/>
    <w:rsid w:val="4B9B7A78"/>
    <w:rsid w:val="4BBA0C86"/>
    <w:rsid w:val="4C6F3312"/>
    <w:rsid w:val="4C705B7B"/>
    <w:rsid w:val="4CB40D67"/>
    <w:rsid w:val="4D72564E"/>
    <w:rsid w:val="4DC25072"/>
    <w:rsid w:val="4E3C698E"/>
    <w:rsid w:val="4E535EF2"/>
    <w:rsid w:val="4E98351C"/>
    <w:rsid w:val="4F1E3A6A"/>
    <w:rsid w:val="4F356D1C"/>
    <w:rsid w:val="4F5819BC"/>
    <w:rsid w:val="4FC2023E"/>
    <w:rsid w:val="4FDB27FC"/>
    <w:rsid w:val="503A07D9"/>
    <w:rsid w:val="505333D2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3E01753"/>
    <w:rsid w:val="546B5875"/>
    <w:rsid w:val="546F4551"/>
    <w:rsid w:val="55262802"/>
    <w:rsid w:val="553D3147"/>
    <w:rsid w:val="555902BB"/>
    <w:rsid w:val="567336B5"/>
    <w:rsid w:val="580A43FE"/>
    <w:rsid w:val="58D71EA4"/>
    <w:rsid w:val="58E21B13"/>
    <w:rsid w:val="591F74D0"/>
    <w:rsid w:val="5937715E"/>
    <w:rsid w:val="5A140FA1"/>
    <w:rsid w:val="5B7065B7"/>
    <w:rsid w:val="5BB2049C"/>
    <w:rsid w:val="5BF67F41"/>
    <w:rsid w:val="5C820CD1"/>
    <w:rsid w:val="5CEF6269"/>
    <w:rsid w:val="5D9D39E9"/>
    <w:rsid w:val="5DEE3E5B"/>
    <w:rsid w:val="5E3723DB"/>
    <w:rsid w:val="5FDF7B19"/>
    <w:rsid w:val="5FE23AE4"/>
    <w:rsid w:val="60121E89"/>
    <w:rsid w:val="60CD5A0C"/>
    <w:rsid w:val="61155EB8"/>
    <w:rsid w:val="61996AEF"/>
    <w:rsid w:val="619A462F"/>
    <w:rsid w:val="62560FA6"/>
    <w:rsid w:val="626F1110"/>
    <w:rsid w:val="63F10007"/>
    <w:rsid w:val="640F2217"/>
    <w:rsid w:val="65BF7B30"/>
    <w:rsid w:val="65C907FC"/>
    <w:rsid w:val="65EB59C7"/>
    <w:rsid w:val="66717D38"/>
    <w:rsid w:val="6704453E"/>
    <w:rsid w:val="672F575D"/>
    <w:rsid w:val="679A7B08"/>
    <w:rsid w:val="680E3F00"/>
    <w:rsid w:val="68966BF5"/>
    <w:rsid w:val="68981FA9"/>
    <w:rsid w:val="68C82A68"/>
    <w:rsid w:val="68FC5E8E"/>
    <w:rsid w:val="692E7BA3"/>
    <w:rsid w:val="69F001BF"/>
    <w:rsid w:val="6A097646"/>
    <w:rsid w:val="6B323E22"/>
    <w:rsid w:val="6B3C460E"/>
    <w:rsid w:val="6B8678B6"/>
    <w:rsid w:val="6BBD4A24"/>
    <w:rsid w:val="6C6A1B24"/>
    <w:rsid w:val="6C8C25A7"/>
    <w:rsid w:val="6D415DCA"/>
    <w:rsid w:val="6D814C24"/>
    <w:rsid w:val="6DFB2481"/>
    <w:rsid w:val="6EA34D24"/>
    <w:rsid w:val="6EAE6189"/>
    <w:rsid w:val="6EBB2A15"/>
    <w:rsid w:val="6F3232B4"/>
    <w:rsid w:val="6F3275E5"/>
    <w:rsid w:val="6F5964CC"/>
    <w:rsid w:val="710F390D"/>
    <w:rsid w:val="711C7101"/>
    <w:rsid w:val="719D3F2B"/>
    <w:rsid w:val="73463ECB"/>
    <w:rsid w:val="738A0A11"/>
    <w:rsid w:val="74EB6FEC"/>
    <w:rsid w:val="75A07046"/>
    <w:rsid w:val="76070528"/>
    <w:rsid w:val="76404C02"/>
    <w:rsid w:val="764861AD"/>
    <w:rsid w:val="77021F05"/>
    <w:rsid w:val="771247BD"/>
    <w:rsid w:val="77912A10"/>
    <w:rsid w:val="779943F6"/>
    <w:rsid w:val="77B41AF2"/>
    <w:rsid w:val="77D72A16"/>
    <w:rsid w:val="78014865"/>
    <w:rsid w:val="787263F0"/>
    <w:rsid w:val="789C6AF6"/>
    <w:rsid w:val="78D669C4"/>
    <w:rsid w:val="794C2B0A"/>
    <w:rsid w:val="794D32A7"/>
    <w:rsid w:val="79664855"/>
    <w:rsid w:val="797B41A3"/>
    <w:rsid w:val="7A720713"/>
    <w:rsid w:val="7A7B08FF"/>
    <w:rsid w:val="7CFE5461"/>
    <w:rsid w:val="7D02613C"/>
    <w:rsid w:val="7EC01800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1747</Words>
  <Characters>1905</Characters>
  <Lines>24</Lines>
  <Paragraphs>6</Paragraphs>
  <TotalTime>1</TotalTime>
  <ScaleCrop>false</ScaleCrop>
  <LinksUpToDate>false</LinksUpToDate>
  <CharactersWithSpaces>1927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wangy</dc:creator>
  <cp:lastModifiedBy>王亚伟</cp:lastModifiedBy>
  <dcterms:modified xsi:type="dcterms:W3CDTF">2024-11-14T00:34:04Z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71709B47F7A244B1A6F184FC8AA40432_13</vt:lpwstr>
  </property>
</Properties>
</file>